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0B67" w:rsidRPr="003878FD" w:rsidRDefault="000C0B67" w:rsidP="000C0B67">
      <w:pPr>
        <w:pStyle w:val="a3"/>
        <w:shd w:val="clear" w:color="auto" w:fill="FFFFFF"/>
        <w:tabs>
          <w:tab w:val="left" w:pos="12474"/>
        </w:tabs>
        <w:spacing w:before="0" w:beforeAutospacing="0" w:after="0" w:afterAutospacing="0"/>
        <w:ind w:left="11057"/>
        <w:textAlignment w:val="baseline"/>
        <w:rPr>
          <w:spacing w:val="2"/>
          <w:sz w:val="28"/>
          <w:szCs w:val="28"/>
        </w:rPr>
      </w:pPr>
      <w:r w:rsidRPr="003878FD">
        <w:rPr>
          <w:spacing w:val="2"/>
          <w:sz w:val="28"/>
          <w:szCs w:val="28"/>
        </w:rPr>
        <w:t xml:space="preserve">Приложение 1 к объявлению о проведении закупа способом запроса ценовых предложений </w:t>
      </w:r>
    </w:p>
    <w:p w:rsidR="000C0B67" w:rsidRPr="003878FD" w:rsidRDefault="000C0B67" w:rsidP="000C0B67">
      <w:pPr>
        <w:pStyle w:val="a3"/>
        <w:shd w:val="clear" w:color="auto" w:fill="FFFFFF"/>
        <w:tabs>
          <w:tab w:val="left" w:pos="12474"/>
        </w:tabs>
        <w:spacing w:before="0" w:beforeAutospacing="0" w:after="0" w:afterAutospacing="0"/>
        <w:ind w:left="11057"/>
        <w:jc w:val="both"/>
        <w:textAlignment w:val="baseline"/>
        <w:rPr>
          <w:spacing w:val="2"/>
          <w:sz w:val="28"/>
          <w:szCs w:val="28"/>
          <w:lang w:val="kk-KZ"/>
        </w:rPr>
      </w:pPr>
    </w:p>
    <w:p w:rsidR="000C0B67" w:rsidRPr="003878FD" w:rsidRDefault="000C0B67" w:rsidP="000C0B67">
      <w:pPr>
        <w:pStyle w:val="a3"/>
        <w:shd w:val="clear" w:color="auto" w:fill="FFFFFF"/>
        <w:tabs>
          <w:tab w:val="left" w:pos="12474"/>
        </w:tabs>
        <w:spacing w:before="0" w:beforeAutospacing="0" w:after="0" w:afterAutospacing="0"/>
        <w:ind w:left="11057"/>
        <w:textAlignment w:val="baseline"/>
        <w:rPr>
          <w:spacing w:val="2"/>
          <w:sz w:val="28"/>
          <w:szCs w:val="28"/>
          <w:lang w:val="kk-KZ"/>
        </w:rPr>
      </w:pPr>
      <w:r w:rsidRPr="003878FD">
        <w:rPr>
          <w:spacing w:val="2"/>
          <w:sz w:val="28"/>
          <w:szCs w:val="28"/>
          <w:lang w:val="kk-KZ"/>
        </w:rPr>
        <w:t>Баға ұсыныстарын сұрату тәсілімен сатып алуды өткізу туралы хабарландыруға 1-қосымша.</w:t>
      </w:r>
    </w:p>
    <w:p w:rsidR="000C0B67" w:rsidRPr="003878FD" w:rsidRDefault="000C0B67" w:rsidP="000C0B67">
      <w:pPr>
        <w:pStyle w:val="a3"/>
        <w:shd w:val="clear" w:color="auto" w:fill="FFFFFF"/>
        <w:spacing w:before="0" w:beforeAutospacing="0" w:after="0" w:afterAutospacing="0"/>
        <w:ind w:firstLine="709"/>
        <w:jc w:val="center"/>
        <w:textAlignment w:val="baseline"/>
        <w:rPr>
          <w:color w:val="000000"/>
          <w:spacing w:val="1"/>
          <w:sz w:val="28"/>
          <w:szCs w:val="28"/>
          <w:shd w:val="clear" w:color="auto" w:fill="FFFFFF"/>
          <w:lang w:val="kk-KZ"/>
        </w:rPr>
      </w:pPr>
    </w:p>
    <w:p w:rsidR="000C0B67" w:rsidRPr="003878FD" w:rsidRDefault="000C0B67" w:rsidP="000C0B67">
      <w:pPr>
        <w:pStyle w:val="a3"/>
        <w:shd w:val="clear" w:color="auto" w:fill="FFFFFF"/>
        <w:spacing w:before="0" w:beforeAutospacing="0" w:after="0" w:afterAutospacing="0"/>
        <w:ind w:firstLine="709"/>
        <w:jc w:val="center"/>
        <w:textAlignment w:val="baseline"/>
        <w:rPr>
          <w:color w:val="000000"/>
          <w:spacing w:val="1"/>
          <w:sz w:val="28"/>
          <w:szCs w:val="28"/>
          <w:shd w:val="clear" w:color="auto" w:fill="FFFFFF"/>
          <w:lang w:val="kk-KZ"/>
        </w:rPr>
      </w:pPr>
      <w:r w:rsidRPr="003878FD">
        <w:rPr>
          <w:color w:val="000000"/>
          <w:spacing w:val="1"/>
          <w:sz w:val="28"/>
          <w:szCs w:val="28"/>
          <w:shd w:val="clear" w:color="auto" w:fill="FFFFFF"/>
        </w:rPr>
        <w:t>Международные непатентованные наименования закупаемых лекарственных средств (торговое название – в случае индивидуальной непереносимости), наименования медицинских изделий без указания торговой марки и производителя</w:t>
      </w:r>
      <w:r w:rsidRPr="003878FD">
        <w:rPr>
          <w:color w:val="000000"/>
          <w:spacing w:val="1"/>
          <w:sz w:val="28"/>
          <w:szCs w:val="28"/>
        </w:rPr>
        <w:br/>
      </w:r>
      <w:r w:rsidRPr="003878FD">
        <w:rPr>
          <w:color w:val="000000"/>
          <w:spacing w:val="1"/>
          <w:sz w:val="28"/>
          <w:szCs w:val="28"/>
          <w:shd w:val="clear" w:color="auto" w:fill="FFFFFF"/>
        </w:rPr>
        <w:t>и их краткая характеристика, объем закупа, место поставки, сумму, выделенную для закупа по каждому лекарственному средству и (или) медицинскому изделию</w:t>
      </w:r>
      <w:r w:rsidRPr="003878FD">
        <w:rPr>
          <w:color w:val="000000"/>
          <w:spacing w:val="1"/>
          <w:sz w:val="28"/>
          <w:szCs w:val="28"/>
          <w:shd w:val="clear" w:color="auto" w:fill="FFFFFF"/>
          <w:lang w:val="kk-KZ"/>
        </w:rPr>
        <w:t>.</w:t>
      </w:r>
    </w:p>
    <w:p w:rsidR="000C0B67" w:rsidRPr="003878FD" w:rsidRDefault="000C0B67" w:rsidP="000C0B67">
      <w:pPr>
        <w:pStyle w:val="a3"/>
        <w:shd w:val="clear" w:color="auto" w:fill="FFFFFF"/>
        <w:spacing w:after="0"/>
        <w:ind w:firstLine="709"/>
        <w:textAlignment w:val="baseline"/>
        <w:rPr>
          <w:spacing w:val="2"/>
          <w:sz w:val="28"/>
          <w:szCs w:val="28"/>
          <w:lang w:val="kk-KZ"/>
        </w:rPr>
      </w:pPr>
      <w:r w:rsidRPr="003878FD">
        <w:rPr>
          <w:spacing w:val="2"/>
          <w:sz w:val="28"/>
          <w:szCs w:val="28"/>
          <w:lang w:val="kk-KZ"/>
        </w:rPr>
        <w:t>Сатып алынатын дәрілік заттардың халықаралық патенттік емес атаулары (саудалық атауы - жеке төзімсіздік жағдайында), медициналық мақсаттағы бұйымдардың бренді мен өндірушісін көрсетпей атаулары және олардың қысқаша сипаттамасы, сатып алу көлемі, жеткізу орны, әрбір дәрілік затқа және (немесе) медициналық мақсаттағы бұйымдарға сатып алуға бөлінген сома.</w:t>
      </w:r>
    </w:p>
    <w:tbl>
      <w:tblPr>
        <w:tblW w:w="14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
        <w:gridCol w:w="2156"/>
        <w:gridCol w:w="6095"/>
        <w:gridCol w:w="1276"/>
        <w:gridCol w:w="992"/>
        <w:gridCol w:w="1417"/>
        <w:gridCol w:w="1758"/>
      </w:tblGrid>
      <w:tr w:rsidR="000C0B67" w:rsidRPr="003878FD" w:rsidTr="00B110AB">
        <w:trPr>
          <w:trHeight w:val="510"/>
          <w:jc w:val="center"/>
        </w:trPr>
        <w:tc>
          <w:tcPr>
            <w:tcW w:w="910" w:type="dxa"/>
            <w:shd w:val="clear" w:color="000000" w:fill="FFFFFF"/>
            <w:vAlign w:val="center"/>
            <w:hideMark/>
          </w:tcPr>
          <w:p w:rsidR="000C0B67" w:rsidRPr="00BD6C2F" w:rsidRDefault="000C0B67" w:rsidP="00B110AB">
            <w:pPr>
              <w:spacing w:after="0" w:line="240" w:lineRule="auto"/>
              <w:jc w:val="center"/>
              <w:rPr>
                <w:rFonts w:ascii="Times New Roman" w:eastAsia="Times New Roman" w:hAnsi="Times New Roman" w:cs="Times New Roman"/>
                <w:b/>
                <w:bCs/>
                <w:color w:val="000000"/>
                <w:sz w:val="24"/>
                <w:szCs w:val="24"/>
                <w:lang w:eastAsia="ru-RU"/>
              </w:rPr>
            </w:pPr>
            <w:bookmarkStart w:id="0" w:name="_Hlk146978807"/>
            <w:r w:rsidRPr="00BD6C2F">
              <w:rPr>
                <w:rFonts w:ascii="Times New Roman" w:eastAsia="Times New Roman" w:hAnsi="Times New Roman" w:cs="Times New Roman"/>
                <w:b/>
                <w:bCs/>
                <w:color w:val="000000"/>
                <w:sz w:val="24"/>
                <w:szCs w:val="24"/>
                <w:lang w:eastAsia="ru-RU"/>
              </w:rPr>
              <w:t>№                 лота</w:t>
            </w:r>
          </w:p>
        </w:tc>
        <w:tc>
          <w:tcPr>
            <w:tcW w:w="2156" w:type="dxa"/>
            <w:shd w:val="clear" w:color="000000" w:fill="FFFFFF"/>
            <w:noWrap/>
            <w:vAlign w:val="center"/>
            <w:hideMark/>
          </w:tcPr>
          <w:p w:rsidR="000C0B67" w:rsidRPr="00BD6C2F" w:rsidRDefault="000C0B67" w:rsidP="00B110AB">
            <w:pPr>
              <w:spacing w:after="0" w:line="240" w:lineRule="auto"/>
              <w:jc w:val="center"/>
              <w:rPr>
                <w:rFonts w:ascii="Times New Roman" w:eastAsia="Times New Roman" w:hAnsi="Times New Roman" w:cs="Times New Roman"/>
                <w:b/>
                <w:bCs/>
                <w:color w:val="000000"/>
                <w:sz w:val="24"/>
                <w:szCs w:val="24"/>
                <w:lang w:val="kk-KZ" w:eastAsia="ru-RU"/>
              </w:rPr>
            </w:pPr>
            <w:r w:rsidRPr="00BD6C2F">
              <w:rPr>
                <w:rFonts w:ascii="Times New Roman" w:eastAsia="Times New Roman" w:hAnsi="Times New Roman" w:cs="Times New Roman"/>
                <w:b/>
                <w:bCs/>
                <w:color w:val="000000"/>
                <w:sz w:val="24"/>
                <w:szCs w:val="24"/>
                <w:lang w:eastAsia="ru-RU"/>
              </w:rPr>
              <w:t>Наименование</w:t>
            </w:r>
            <w:r w:rsidRPr="00BD6C2F">
              <w:rPr>
                <w:rFonts w:ascii="Times New Roman" w:eastAsia="Times New Roman" w:hAnsi="Times New Roman" w:cs="Times New Roman"/>
                <w:b/>
                <w:bCs/>
                <w:color w:val="000000"/>
                <w:sz w:val="24"/>
                <w:szCs w:val="24"/>
                <w:lang w:val="kk-KZ" w:eastAsia="ru-RU"/>
              </w:rPr>
              <w:t>/Атауы</w:t>
            </w:r>
          </w:p>
        </w:tc>
        <w:tc>
          <w:tcPr>
            <w:tcW w:w="6095" w:type="dxa"/>
            <w:shd w:val="clear" w:color="000000" w:fill="FFFFFF"/>
            <w:noWrap/>
            <w:vAlign w:val="center"/>
            <w:hideMark/>
          </w:tcPr>
          <w:p w:rsidR="000C0B67" w:rsidRPr="00BD6C2F" w:rsidRDefault="000C0B67" w:rsidP="00B110AB">
            <w:pPr>
              <w:spacing w:after="0" w:line="240" w:lineRule="auto"/>
              <w:jc w:val="center"/>
              <w:rPr>
                <w:rFonts w:ascii="Times New Roman" w:eastAsia="Times New Roman" w:hAnsi="Times New Roman" w:cs="Times New Roman"/>
                <w:b/>
                <w:bCs/>
                <w:color w:val="000000"/>
                <w:sz w:val="24"/>
                <w:szCs w:val="24"/>
                <w:lang w:eastAsia="ru-RU"/>
              </w:rPr>
            </w:pPr>
            <w:r w:rsidRPr="00BD6C2F">
              <w:rPr>
                <w:rFonts w:ascii="Times New Roman" w:eastAsia="Times New Roman" w:hAnsi="Times New Roman" w:cs="Times New Roman"/>
                <w:b/>
                <w:bCs/>
                <w:color w:val="000000"/>
                <w:sz w:val="24"/>
                <w:szCs w:val="24"/>
                <w:lang w:val="kk-KZ" w:eastAsia="ru-RU"/>
              </w:rPr>
              <w:t xml:space="preserve">Дополнительное </w:t>
            </w:r>
            <w:r>
              <w:rPr>
                <w:rFonts w:ascii="Times New Roman" w:eastAsia="Times New Roman" w:hAnsi="Times New Roman" w:cs="Times New Roman"/>
                <w:b/>
                <w:bCs/>
                <w:color w:val="000000"/>
                <w:sz w:val="24"/>
                <w:szCs w:val="24"/>
                <w:lang w:val="kk-KZ" w:eastAsia="ru-RU"/>
              </w:rPr>
              <w:t>описание/</w:t>
            </w:r>
            <w:r w:rsidRPr="00BD6C2F">
              <w:rPr>
                <w:rFonts w:ascii="Times New Roman" w:eastAsia="Times New Roman" w:hAnsi="Times New Roman" w:cs="Times New Roman"/>
                <w:b/>
                <w:bCs/>
                <w:color w:val="000000"/>
                <w:sz w:val="24"/>
                <w:szCs w:val="24"/>
                <w:lang w:val="kk-KZ" w:eastAsia="ru-RU"/>
              </w:rPr>
              <w:t>Қосымша сипаттамасы</w:t>
            </w:r>
          </w:p>
        </w:tc>
        <w:tc>
          <w:tcPr>
            <w:tcW w:w="1276" w:type="dxa"/>
            <w:shd w:val="clear" w:color="000000" w:fill="FFFFFF"/>
            <w:noWrap/>
            <w:vAlign w:val="center"/>
            <w:hideMark/>
          </w:tcPr>
          <w:p w:rsidR="000C0B67" w:rsidRPr="00BD6C2F" w:rsidRDefault="000C0B67" w:rsidP="00B110AB">
            <w:pPr>
              <w:spacing w:after="0" w:line="240" w:lineRule="auto"/>
              <w:jc w:val="center"/>
              <w:rPr>
                <w:rFonts w:ascii="Times New Roman" w:eastAsia="Times New Roman" w:hAnsi="Times New Roman" w:cs="Times New Roman"/>
                <w:b/>
                <w:bCs/>
                <w:color w:val="000000"/>
                <w:sz w:val="24"/>
                <w:szCs w:val="24"/>
                <w:lang w:val="kk-KZ" w:eastAsia="ru-RU"/>
              </w:rPr>
            </w:pPr>
            <w:r w:rsidRPr="00BD6C2F">
              <w:rPr>
                <w:rFonts w:ascii="Times New Roman" w:eastAsia="Times New Roman" w:hAnsi="Times New Roman" w:cs="Times New Roman"/>
                <w:b/>
                <w:bCs/>
                <w:color w:val="000000"/>
                <w:sz w:val="24"/>
                <w:szCs w:val="24"/>
                <w:lang w:eastAsia="ru-RU"/>
              </w:rPr>
              <w:t>Единица измерения</w:t>
            </w:r>
            <w:r w:rsidRPr="00BD6C2F">
              <w:rPr>
                <w:rFonts w:ascii="Times New Roman" w:eastAsia="Times New Roman" w:hAnsi="Times New Roman" w:cs="Times New Roman"/>
                <w:b/>
                <w:bCs/>
                <w:color w:val="000000"/>
                <w:sz w:val="24"/>
                <w:szCs w:val="24"/>
                <w:lang w:val="kk-KZ" w:eastAsia="ru-RU"/>
              </w:rPr>
              <w:t>/Өлшем бірлігі</w:t>
            </w:r>
          </w:p>
        </w:tc>
        <w:tc>
          <w:tcPr>
            <w:tcW w:w="992" w:type="dxa"/>
            <w:shd w:val="clear" w:color="000000" w:fill="FFFFFF"/>
            <w:noWrap/>
            <w:vAlign w:val="center"/>
            <w:hideMark/>
          </w:tcPr>
          <w:p w:rsidR="000C0B67" w:rsidRPr="00BD6C2F" w:rsidRDefault="000C0B67" w:rsidP="00B110AB">
            <w:pPr>
              <w:spacing w:after="0" w:line="240" w:lineRule="auto"/>
              <w:jc w:val="center"/>
              <w:rPr>
                <w:rFonts w:ascii="Times New Roman" w:eastAsia="Times New Roman" w:hAnsi="Times New Roman" w:cs="Times New Roman"/>
                <w:b/>
                <w:bCs/>
                <w:color w:val="000000"/>
                <w:sz w:val="24"/>
                <w:szCs w:val="24"/>
                <w:lang w:val="kk-KZ" w:eastAsia="ru-RU"/>
              </w:rPr>
            </w:pPr>
            <w:r w:rsidRPr="00BD6C2F">
              <w:rPr>
                <w:rFonts w:ascii="Times New Roman" w:eastAsia="Times New Roman" w:hAnsi="Times New Roman" w:cs="Times New Roman"/>
                <w:b/>
                <w:bCs/>
                <w:color w:val="000000"/>
                <w:sz w:val="24"/>
                <w:szCs w:val="24"/>
                <w:lang w:eastAsia="ru-RU"/>
              </w:rPr>
              <w:t>Кол-во</w:t>
            </w:r>
            <w:r w:rsidRPr="00BD6C2F">
              <w:rPr>
                <w:rFonts w:ascii="Times New Roman" w:eastAsia="Times New Roman" w:hAnsi="Times New Roman" w:cs="Times New Roman"/>
                <w:b/>
                <w:bCs/>
                <w:color w:val="000000"/>
                <w:sz w:val="24"/>
                <w:szCs w:val="24"/>
                <w:lang w:val="kk-KZ" w:eastAsia="ru-RU"/>
              </w:rPr>
              <w:t>/Саны</w:t>
            </w:r>
          </w:p>
        </w:tc>
        <w:tc>
          <w:tcPr>
            <w:tcW w:w="1417" w:type="dxa"/>
            <w:shd w:val="clear" w:color="000000" w:fill="FFFFFF"/>
            <w:noWrap/>
            <w:vAlign w:val="center"/>
            <w:hideMark/>
          </w:tcPr>
          <w:p w:rsidR="000C0B67" w:rsidRPr="00BD6C2F" w:rsidRDefault="000C0B67" w:rsidP="00B110AB">
            <w:pPr>
              <w:spacing w:after="0" w:line="240" w:lineRule="auto"/>
              <w:jc w:val="center"/>
              <w:rPr>
                <w:rFonts w:ascii="Times New Roman" w:eastAsia="Times New Roman" w:hAnsi="Times New Roman" w:cs="Times New Roman"/>
                <w:b/>
                <w:bCs/>
                <w:color w:val="000000"/>
                <w:sz w:val="24"/>
                <w:szCs w:val="24"/>
                <w:lang w:val="kk-KZ" w:eastAsia="ru-RU"/>
              </w:rPr>
            </w:pPr>
            <w:r w:rsidRPr="00BD6C2F">
              <w:rPr>
                <w:rFonts w:ascii="Times New Roman" w:eastAsia="Times New Roman" w:hAnsi="Times New Roman" w:cs="Times New Roman"/>
                <w:b/>
                <w:bCs/>
                <w:color w:val="000000"/>
                <w:sz w:val="24"/>
                <w:szCs w:val="24"/>
                <w:lang w:eastAsia="ru-RU"/>
              </w:rPr>
              <w:t>Цена</w:t>
            </w:r>
            <w:r w:rsidRPr="00BD6C2F">
              <w:rPr>
                <w:rFonts w:ascii="Times New Roman" w:eastAsia="Times New Roman" w:hAnsi="Times New Roman" w:cs="Times New Roman"/>
                <w:b/>
                <w:bCs/>
                <w:color w:val="000000"/>
                <w:sz w:val="24"/>
                <w:szCs w:val="24"/>
                <w:lang w:val="kk-KZ" w:eastAsia="ru-RU"/>
              </w:rPr>
              <w:t>/Бағасы</w:t>
            </w:r>
          </w:p>
        </w:tc>
        <w:tc>
          <w:tcPr>
            <w:tcW w:w="1758" w:type="dxa"/>
            <w:shd w:val="clear" w:color="000000" w:fill="FFFFFF"/>
            <w:noWrap/>
            <w:vAlign w:val="center"/>
            <w:hideMark/>
          </w:tcPr>
          <w:p w:rsidR="000C0B67" w:rsidRPr="00BD6C2F" w:rsidRDefault="000C0B67" w:rsidP="00B110AB">
            <w:pPr>
              <w:spacing w:after="0" w:line="240" w:lineRule="auto"/>
              <w:jc w:val="center"/>
              <w:rPr>
                <w:rFonts w:ascii="Times New Roman" w:eastAsia="Times New Roman" w:hAnsi="Times New Roman" w:cs="Times New Roman"/>
                <w:b/>
                <w:bCs/>
                <w:color w:val="000000"/>
                <w:sz w:val="24"/>
                <w:szCs w:val="24"/>
                <w:lang w:val="kk-KZ" w:eastAsia="ru-RU"/>
              </w:rPr>
            </w:pPr>
            <w:r w:rsidRPr="00BD6C2F">
              <w:rPr>
                <w:rFonts w:ascii="Times New Roman" w:eastAsia="Times New Roman" w:hAnsi="Times New Roman" w:cs="Times New Roman"/>
                <w:b/>
                <w:bCs/>
                <w:color w:val="000000"/>
                <w:sz w:val="24"/>
                <w:szCs w:val="24"/>
                <w:lang w:eastAsia="ru-RU"/>
              </w:rPr>
              <w:t>Сумма, тенге</w:t>
            </w:r>
            <w:r w:rsidRPr="00BD6C2F">
              <w:rPr>
                <w:rFonts w:ascii="Times New Roman" w:eastAsia="Times New Roman" w:hAnsi="Times New Roman" w:cs="Times New Roman"/>
                <w:b/>
                <w:bCs/>
                <w:color w:val="000000"/>
                <w:sz w:val="24"/>
                <w:szCs w:val="24"/>
                <w:lang w:val="kk-KZ" w:eastAsia="ru-RU"/>
              </w:rPr>
              <w:t>/ Сомасы, тенге</w:t>
            </w:r>
          </w:p>
        </w:tc>
      </w:tr>
      <w:tr w:rsidR="000C0B67" w:rsidRPr="003878FD" w:rsidTr="00B110AB">
        <w:trPr>
          <w:trHeight w:val="510"/>
          <w:jc w:val="center"/>
        </w:trPr>
        <w:tc>
          <w:tcPr>
            <w:tcW w:w="14604" w:type="dxa"/>
            <w:gridSpan w:val="7"/>
            <w:shd w:val="clear" w:color="000000" w:fill="FFFFFF"/>
            <w:vAlign w:val="center"/>
          </w:tcPr>
          <w:p w:rsidR="000C0B67" w:rsidRPr="00576253" w:rsidRDefault="000C0B67" w:rsidP="00B110AB">
            <w:pPr>
              <w:spacing w:after="0" w:line="240" w:lineRule="auto"/>
              <w:jc w:val="center"/>
              <w:rPr>
                <w:rFonts w:ascii="Times New Roman" w:eastAsia="Times New Roman" w:hAnsi="Times New Roman" w:cs="Times New Roman"/>
                <w:b/>
                <w:bCs/>
                <w:color w:val="000000"/>
                <w:sz w:val="28"/>
                <w:szCs w:val="28"/>
                <w:lang w:eastAsia="ru-RU"/>
              </w:rPr>
            </w:pPr>
            <w:r w:rsidRPr="00576253">
              <w:rPr>
                <w:rFonts w:ascii="Times New Roman" w:eastAsia="Times New Roman" w:hAnsi="Times New Roman" w:cs="Times New Roman"/>
                <w:b/>
                <w:bCs/>
                <w:color w:val="000000"/>
                <w:sz w:val="28"/>
                <w:szCs w:val="28"/>
                <w:highlight w:val="green"/>
                <w:lang w:eastAsia="ru-RU"/>
              </w:rPr>
              <w:t>Автоматическ</w:t>
            </w:r>
            <w:r>
              <w:rPr>
                <w:rFonts w:ascii="Times New Roman" w:eastAsia="Times New Roman" w:hAnsi="Times New Roman" w:cs="Times New Roman"/>
                <w:b/>
                <w:bCs/>
                <w:color w:val="000000"/>
                <w:sz w:val="28"/>
                <w:szCs w:val="28"/>
                <w:highlight w:val="green"/>
                <w:lang w:eastAsia="ru-RU"/>
              </w:rPr>
              <w:t>ий</w:t>
            </w:r>
            <w:r w:rsidRPr="00576253">
              <w:rPr>
                <w:rFonts w:ascii="Times New Roman" w:eastAsia="Times New Roman" w:hAnsi="Times New Roman" w:cs="Times New Roman"/>
                <w:b/>
                <w:bCs/>
                <w:color w:val="000000"/>
                <w:sz w:val="28"/>
                <w:szCs w:val="28"/>
                <w:highlight w:val="green"/>
                <w:lang w:eastAsia="ru-RU"/>
              </w:rPr>
              <w:t xml:space="preserve"> биохимическ</w:t>
            </w:r>
            <w:r>
              <w:rPr>
                <w:rFonts w:ascii="Times New Roman" w:eastAsia="Times New Roman" w:hAnsi="Times New Roman" w:cs="Times New Roman"/>
                <w:b/>
                <w:bCs/>
                <w:color w:val="000000"/>
                <w:sz w:val="28"/>
                <w:szCs w:val="28"/>
                <w:highlight w:val="green"/>
                <w:lang w:eastAsia="ru-RU"/>
              </w:rPr>
              <w:t>ий</w:t>
            </w:r>
            <w:r w:rsidRPr="00576253">
              <w:rPr>
                <w:rFonts w:ascii="Times New Roman" w:eastAsia="Times New Roman" w:hAnsi="Times New Roman" w:cs="Times New Roman"/>
                <w:b/>
                <w:bCs/>
                <w:color w:val="000000"/>
                <w:sz w:val="28"/>
                <w:szCs w:val="28"/>
                <w:highlight w:val="green"/>
                <w:lang w:eastAsia="ru-RU"/>
              </w:rPr>
              <w:t xml:space="preserve"> анализатор</w:t>
            </w:r>
            <w:r>
              <w:rPr>
                <w:rFonts w:ascii="Times New Roman" w:eastAsia="Times New Roman" w:hAnsi="Times New Roman" w:cs="Times New Roman"/>
                <w:b/>
                <w:bCs/>
                <w:color w:val="000000"/>
                <w:sz w:val="28"/>
                <w:szCs w:val="28"/>
                <w:highlight w:val="green"/>
                <w:lang w:eastAsia="ru-RU"/>
              </w:rPr>
              <w:t xml:space="preserve"> Pentra C400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color w:val="000000"/>
                <w:sz w:val="24"/>
                <w:szCs w:val="24"/>
              </w:rPr>
              <w:t>1</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 xml:space="preserve">Реагент для определения С-реактивного белка </w:t>
            </w:r>
          </w:p>
        </w:tc>
        <w:tc>
          <w:tcPr>
            <w:tcW w:w="6095" w:type="dxa"/>
            <w:shd w:val="clear" w:color="000000" w:fill="FFFFFF"/>
          </w:tcPr>
          <w:p w:rsidR="000C0B67" w:rsidRPr="00BD6C2F" w:rsidRDefault="000C0B67" w:rsidP="00B110AB">
            <w:pPr>
              <w:spacing w:after="0"/>
              <w:rPr>
                <w:rFonts w:ascii="Times New Roman" w:hAnsi="Times New Roman" w:cs="Times New Roman"/>
                <w:sz w:val="24"/>
                <w:szCs w:val="24"/>
              </w:rPr>
            </w:pPr>
            <w:r w:rsidRPr="00BD6C2F">
              <w:rPr>
                <w:rFonts w:ascii="Times New Roman" w:hAnsi="Times New Roman" w:cs="Times New Roman"/>
                <w:sz w:val="24"/>
                <w:szCs w:val="24"/>
              </w:rPr>
              <w:t>"Реагент предназначен для диагностического количественного определения in vitro C-реактивного белка в сыворотке и плазме крови человека с помощью иммунотурбидиметрического анализа. Определение уровня C-реактивного белка помогает в оценке повреждений тканей организма.</w:t>
            </w:r>
            <w:r w:rsidRPr="00BD6C2F">
              <w:rPr>
                <w:rFonts w:ascii="Times New Roman" w:hAnsi="Times New Roman" w:cs="Times New Roman"/>
                <w:sz w:val="24"/>
                <w:szCs w:val="24"/>
              </w:rPr>
              <w:br/>
              <w:t xml:space="preserve">Реагент 1: Буферный раствор: буферный раствор </w:t>
            </w:r>
            <w:r w:rsidRPr="00BD6C2F">
              <w:rPr>
                <w:rFonts w:ascii="Times New Roman" w:hAnsi="Times New Roman" w:cs="Times New Roman"/>
                <w:sz w:val="24"/>
                <w:szCs w:val="24"/>
              </w:rPr>
              <w:lastRenderedPageBreak/>
              <w:t>глицина</w:t>
            </w:r>
            <w:r w:rsidRPr="00BD6C2F">
              <w:rPr>
                <w:rFonts w:ascii="Times New Roman" w:hAnsi="Times New Roman" w:cs="Times New Roman"/>
                <w:sz w:val="24"/>
                <w:szCs w:val="24"/>
              </w:rPr>
              <w:br/>
              <w:t>Реагент 2: Суспензия латекса: 0,20% масс. /об. частиц латекса, сенсибилизированных к антителам к CРБ (кролик)</w:t>
            </w:r>
            <w:r w:rsidRPr="00BD6C2F">
              <w:rPr>
                <w:rFonts w:ascii="Times New Roman" w:hAnsi="Times New Roman" w:cs="Times New Roman"/>
                <w:sz w:val="24"/>
                <w:szCs w:val="24"/>
              </w:rPr>
              <w:br/>
              <w:t>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lastRenderedPageBreak/>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48</w:t>
            </w:r>
          </w:p>
        </w:tc>
        <w:tc>
          <w:tcPr>
            <w:tcW w:w="1417"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55 000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2 640 000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color w:val="000000"/>
                <w:sz w:val="24"/>
                <w:szCs w:val="24"/>
              </w:rPr>
              <w:lastRenderedPageBreak/>
              <w:t>2</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 xml:space="preserve">Реагент для определения ревматоидного фактора </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"Реагент используется для количественного определения ревматоидного фактора в сыворотке крови человека.</w:t>
            </w:r>
            <w:r w:rsidRPr="00BD6C2F">
              <w:rPr>
                <w:rFonts w:ascii="Times New Roman" w:hAnsi="Times New Roman" w:cs="Times New Roman"/>
                <w:sz w:val="24"/>
                <w:szCs w:val="24"/>
              </w:rPr>
              <w:br/>
              <w:t>Значения уровня ревматоидного фактора могут помочь в диагностике ревматоидного артрита.</w:t>
            </w:r>
            <w:r w:rsidRPr="00BD6C2F">
              <w:rPr>
                <w:rFonts w:ascii="Times New Roman" w:hAnsi="Times New Roman" w:cs="Times New Roman"/>
                <w:sz w:val="24"/>
                <w:szCs w:val="24"/>
              </w:rPr>
              <w:br/>
              <w:t>Реагент 1: Буферный раствор: буферный раствор глицина</w:t>
            </w:r>
            <w:r w:rsidRPr="00BD6C2F">
              <w:rPr>
                <w:rFonts w:ascii="Times New Roman" w:hAnsi="Times New Roman" w:cs="Times New Roman"/>
                <w:sz w:val="24"/>
                <w:szCs w:val="24"/>
              </w:rPr>
              <w:br/>
              <w:t>Реагент 2: Суспензия латекса: 0,17% масс. /об. суспензия частиц латекса, сенсибилизированных к денатурированным IgG человека, 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48</w:t>
            </w:r>
          </w:p>
        </w:tc>
        <w:tc>
          <w:tcPr>
            <w:tcW w:w="1417"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78 100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3 748 800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color w:val="000000"/>
                <w:sz w:val="24"/>
                <w:szCs w:val="24"/>
              </w:rPr>
              <w:t>3</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 xml:space="preserve">Реагент для определения анти-стрептолизина О </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Диагностический реагент для количественного определения in vitro антистрептолизина O (АСО) в сыворотке или плазме крови методом иммунотурбидиметрического анализа с латексным усилением. Реагент 1 (R1): Глициновый буфер Реагент 2 (R2): Суспензия латекса 0,17% суспензия частиц латекса, сенсибилизированных СЛО/ 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55</w:t>
            </w:r>
          </w:p>
        </w:tc>
        <w:tc>
          <w:tcPr>
            <w:tcW w:w="1417"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117 700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6 473 500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kk-KZ"/>
              </w:rPr>
            </w:pPr>
            <w:r w:rsidRPr="00BD6C2F">
              <w:rPr>
                <w:rFonts w:ascii="Times New Roman" w:hAnsi="Times New Roman" w:cs="Times New Roman"/>
                <w:color w:val="000000"/>
                <w:sz w:val="24"/>
                <w:szCs w:val="24"/>
                <w:lang w:val="kk-KZ"/>
              </w:rPr>
              <w:t>4</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 xml:space="preserve">Реагент для определения общего белка 100 </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 xml:space="preserve">"Реагент предназначен для диагностического количественного определения in vitro общего белка в сыворотке и плазме крови колориметрическим методом. Значения, полученные с помощью этого прибора, используются для диагностики и лечения различных заболеваний печени, почек или костного мозга, а также других метаболических и алиментарных нарушений. </w:t>
            </w:r>
            <w:r w:rsidRPr="00BD6C2F">
              <w:rPr>
                <w:rFonts w:ascii="Times New Roman" w:hAnsi="Times New Roman" w:cs="Times New Roman"/>
                <w:sz w:val="24"/>
                <w:szCs w:val="24"/>
              </w:rPr>
              <w:br/>
              <w:t>Реагент:</w:t>
            </w:r>
            <w:r w:rsidRPr="00BD6C2F">
              <w:rPr>
                <w:rFonts w:ascii="Times New Roman" w:hAnsi="Times New Roman" w:cs="Times New Roman"/>
                <w:sz w:val="24"/>
                <w:szCs w:val="24"/>
              </w:rPr>
              <w:br/>
            </w:r>
            <w:r w:rsidRPr="00BD6C2F">
              <w:rPr>
                <w:rFonts w:ascii="Times New Roman" w:hAnsi="Times New Roman" w:cs="Times New Roman"/>
                <w:sz w:val="24"/>
                <w:szCs w:val="24"/>
              </w:rPr>
              <w:lastRenderedPageBreak/>
              <w:t>Калия йодид 6 ммоль/Л</w:t>
            </w:r>
            <w:r w:rsidRPr="00BD6C2F">
              <w:rPr>
                <w:rFonts w:ascii="Times New Roman" w:hAnsi="Times New Roman" w:cs="Times New Roman"/>
                <w:sz w:val="24"/>
                <w:szCs w:val="24"/>
              </w:rPr>
              <w:br/>
              <w:t>Натрия хлорида тартрат 21 ммоль/Л</w:t>
            </w:r>
            <w:r w:rsidRPr="00BD6C2F">
              <w:rPr>
                <w:rFonts w:ascii="Times New Roman" w:hAnsi="Times New Roman" w:cs="Times New Roman"/>
                <w:sz w:val="24"/>
                <w:szCs w:val="24"/>
              </w:rPr>
              <w:br/>
              <w:t>Меди сульфат 6 ммоль/Л</w:t>
            </w:r>
            <w:r w:rsidRPr="00BD6C2F">
              <w:rPr>
                <w:rFonts w:ascii="Times New Roman" w:hAnsi="Times New Roman" w:cs="Times New Roman"/>
                <w:sz w:val="24"/>
                <w:szCs w:val="24"/>
              </w:rPr>
              <w:br/>
              <w:t>Натрия гидроксид 58 ммоль/Л</w:t>
            </w:r>
            <w:r w:rsidRPr="00BD6C2F">
              <w:rPr>
                <w:rFonts w:ascii="Times New Roman" w:hAnsi="Times New Roman" w:cs="Times New Roman"/>
                <w:sz w:val="24"/>
                <w:szCs w:val="24"/>
              </w:rPr>
              <w:br/>
              <w:t>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lastRenderedPageBreak/>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48</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10 000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480 000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kk-KZ"/>
              </w:rPr>
            </w:pPr>
            <w:r w:rsidRPr="00BD6C2F">
              <w:rPr>
                <w:rFonts w:ascii="Times New Roman" w:hAnsi="Times New Roman" w:cs="Times New Roman"/>
                <w:color w:val="000000"/>
                <w:sz w:val="24"/>
                <w:szCs w:val="24"/>
                <w:lang w:val="kk-KZ"/>
              </w:rPr>
              <w:lastRenderedPageBreak/>
              <w:t>5</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 xml:space="preserve">Реагент для определения аланинаминотрансферазы </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"Реагент предназначен для диагностического количественного определения in vitro аланинаминотрансферазы (АЛТ) в сыворотке и плазме</w:t>
            </w:r>
            <w:r w:rsidRPr="00BD6C2F">
              <w:rPr>
                <w:rFonts w:ascii="Times New Roman" w:hAnsi="Times New Roman" w:cs="Times New Roman"/>
                <w:sz w:val="24"/>
                <w:szCs w:val="24"/>
              </w:rPr>
              <w:br/>
              <w:t xml:space="preserve">крови колориметрическим методом. Определение аланинаминотрансферазы используется в диагностике и лечении некоторых заболеваний печени (например, вирусного гепатита и цирроза) и сердца. </w:t>
            </w:r>
            <w:r w:rsidRPr="00BD6C2F">
              <w:rPr>
                <w:rFonts w:ascii="Times New Roman" w:hAnsi="Times New Roman" w:cs="Times New Roman"/>
                <w:sz w:val="24"/>
                <w:szCs w:val="24"/>
              </w:rPr>
              <w:br/>
              <w:t>Реагент 1:</w:t>
            </w:r>
            <w:r w:rsidRPr="00BD6C2F">
              <w:rPr>
                <w:rFonts w:ascii="Times New Roman" w:hAnsi="Times New Roman" w:cs="Times New Roman"/>
                <w:sz w:val="24"/>
                <w:szCs w:val="24"/>
              </w:rPr>
              <w:br/>
              <w:t>ТРИС, pH 7,15 140 ммоль/Л</w:t>
            </w:r>
            <w:r w:rsidRPr="00BD6C2F">
              <w:rPr>
                <w:rFonts w:ascii="Times New Roman" w:hAnsi="Times New Roman" w:cs="Times New Roman"/>
                <w:sz w:val="24"/>
                <w:szCs w:val="24"/>
              </w:rPr>
              <w:br/>
              <w:t>L-аланин 700 ммоль/Л</w:t>
            </w:r>
            <w:r w:rsidRPr="00BD6C2F">
              <w:rPr>
                <w:rFonts w:ascii="Times New Roman" w:hAnsi="Times New Roman" w:cs="Times New Roman"/>
                <w:sz w:val="24"/>
                <w:szCs w:val="24"/>
              </w:rPr>
              <w:br/>
              <w:t>ЛДГ (лактатдегидрогеназа) ≥ 2300 Е/Л</w:t>
            </w:r>
            <w:r w:rsidRPr="00BD6C2F">
              <w:rPr>
                <w:rFonts w:ascii="Times New Roman" w:hAnsi="Times New Roman" w:cs="Times New Roman"/>
                <w:sz w:val="24"/>
                <w:szCs w:val="24"/>
              </w:rPr>
              <w:br/>
              <w:t>Азид натрия &lt; 1 г/Л</w:t>
            </w:r>
            <w:r w:rsidRPr="00BD6C2F">
              <w:rPr>
                <w:rFonts w:ascii="Times New Roman" w:hAnsi="Times New Roman" w:cs="Times New Roman"/>
                <w:sz w:val="24"/>
                <w:szCs w:val="24"/>
              </w:rPr>
              <w:br/>
              <w:t>Реагент 2:</w:t>
            </w:r>
            <w:r w:rsidRPr="00BD6C2F">
              <w:rPr>
                <w:rFonts w:ascii="Times New Roman" w:hAnsi="Times New Roman" w:cs="Times New Roman"/>
                <w:sz w:val="24"/>
                <w:szCs w:val="24"/>
              </w:rPr>
              <w:br/>
              <w:t>2-оксоглутарат 85 ммоль/Л</w:t>
            </w:r>
            <w:r w:rsidRPr="00BD6C2F">
              <w:rPr>
                <w:rFonts w:ascii="Times New Roman" w:hAnsi="Times New Roman" w:cs="Times New Roman"/>
                <w:sz w:val="24"/>
                <w:szCs w:val="24"/>
              </w:rPr>
              <w:br/>
              <w:t>НАДH 1 ммоль/Л</w:t>
            </w:r>
            <w:r w:rsidRPr="00BD6C2F">
              <w:rPr>
                <w:rFonts w:ascii="Times New Roman" w:hAnsi="Times New Roman" w:cs="Times New Roman"/>
                <w:sz w:val="24"/>
                <w:szCs w:val="24"/>
              </w:rPr>
              <w:br/>
              <w:t>Азид натрия &lt; 1 г/Л</w:t>
            </w:r>
            <w:r w:rsidRPr="00BD6C2F">
              <w:rPr>
                <w:rFonts w:ascii="Times New Roman" w:hAnsi="Times New Roman" w:cs="Times New Roman"/>
                <w:sz w:val="24"/>
                <w:szCs w:val="24"/>
              </w:rPr>
              <w:br/>
              <w:t>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36</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19 000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684 000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kk-KZ"/>
              </w:rPr>
            </w:pPr>
            <w:r w:rsidRPr="00BD6C2F">
              <w:rPr>
                <w:rFonts w:ascii="Times New Roman" w:hAnsi="Times New Roman" w:cs="Times New Roman"/>
                <w:color w:val="000000"/>
                <w:sz w:val="24"/>
                <w:szCs w:val="24"/>
                <w:lang w:val="kk-KZ"/>
              </w:rPr>
              <w:t>6</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 xml:space="preserve">Реагент для определения прямого билирубина </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 xml:space="preserve">"Реагент предназначен для диагностического количественного определения in vitro прямого билирубина в сыворотке и плазме крови человека с помощью фотометрии с использованием 2,4-дихлоранилина (ДХА). Уровни билирубина (прямого или общего), органического соединения, которое образуется при нормальном и патологическом разрушении эритроцитов, определяют для диагностики и лечения заболеваний печени, гемолитических </w:t>
            </w:r>
            <w:r w:rsidRPr="00BD6C2F">
              <w:rPr>
                <w:rFonts w:ascii="Times New Roman" w:hAnsi="Times New Roman" w:cs="Times New Roman"/>
                <w:sz w:val="24"/>
                <w:szCs w:val="24"/>
              </w:rPr>
              <w:lastRenderedPageBreak/>
              <w:t xml:space="preserve">заболеваний системы крови и метаболических нарушений, в том числе гепатита и закупорки желчных протоков. </w:t>
            </w:r>
            <w:r w:rsidRPr="00BD6C2F">
              <w:rPr>
                <w:rFonts w:ascii="Times New Roman" w:hAnsi="Times New Roman" w:cs="Times New Roman"/>
                <w:sz w:val="24"/>
                <w:szCs w:val="24"/>
              </w:rPr>
              <w:br/>
              <w:t>Реагент 1:</w:t>
            </w:r>
            <w:r w:rsidRPr="00BD6C2F">
              <w:rPr>
                <w:rFonts w:ascii="Times New Roman" w:hAnsi="Times New Roman" w:cs="Times New Roman"/>
                <w:sz w:val="24"/>
                <w:szCs w:val="24"/>
              </w:rPr>
              <w:br/>
              <w:t>ЭДТА-Na2 0,1 ммоль/л</w:t>
            </w:r>
            <w:r w:rsidRPr="00BD6C2F">
              <w:rPr>
                <w:rFonts w:ascii="Times New Roman" w:hAnsi="Times New Roman" w:cs="Times New Roman"/>
                <w:sz w:val="24"/>
                <w:szCs w:val="24"/>
              </w:rPr>
              <w:br/>
              <w:t>NaCl 150 ммоль/л</w:t>
            </w:r>
            <w:r w:rsidRPr="00BD6C2F">
              <w:rPr>
                <w:rFonts w:ascii="Times New Roman" w:hAnsi="Times New Roman" w:cs="Times New Roman"/>
                <w:sz w:val="24"/>
                <w:szCs w:val="24"/>
              </w:rPr>
              <w:br/>
              <w:t>Сульфаминовая кислота 100 ммоль/л</w:t>
            </w:r>
            <w:r w:rsidRPr="00BD6C2F">
              <w:rPr>
                <w:rFonts w:ascii="Times New Roman" w:hAnsi="Times New Roman" w:cs="Times New Roman"/>
                <w:sz w:val="24"/>
                <w:szCs w:val="24"/>
              </w:rPr>
              <w:br/>
              <w:t>Реагент 2:</w:t>
            </w:r>
            <w:r w:rsidRPr="00BD6C2F">
              <w:rPr>
                <w:rFonts w:ascii="Times New Roman" w:hAnsi="Times New Roman" w:cs="Times New Roman"/>
                <w:sz w:val="24"/>
                <w:szCs w:val="24"/>
              </w:rPr>
              <w:br/>
              <w:t>2,4-дихлорфенил диазониевая соль 0,5 ммоль/л</w:t>
            </w:r>
            <w:r w:rsidRPr="00BD6C2F">
              <w:rPr>
                <w:rFonts w:ascii="Times New Roman" w:hAnsi="Times New Roman" w:cs="Times New Roman"/>
                <w:sz w:val="24"/>
                <w:szCs w:val="24"/>
              </w:rPr>
              <w:br/>
              <w:t>HCl 900 ммоль/л</w:t>
            </w:r>
            <w:r w:rsidRPr="00BD6C2F">
              <w:rPr>
                <w:rFonts w:ascii="Times New Roman" w:hAnsi="Times New Roman" w:cs="Times New Roman"/>
                <w:sz w:val="24"/>
                <w:szCs w:val="24"/>
              </w:rPr>
              <w:br/>
              <w:t>ЭДТА-Na2 0,13 ммоль/л</w:t>
            </w:r>
            <w:r w:rsidRPr="00BD6C2F">
              <w:rPr>
                <w:rFonts w:ascii="Times New Roman" w:hAnsi="Times New Roman" w:cs="Times New Roman"/>
                <w:sz w:val="24"/>
                <w:szCs w:val="24"/>
              </w:rPr>
              <w:br/>
              <w:t>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lastRenderedPageBreak/>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3</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19 000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57 000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kk-KZ"/>
              </w:rPr>
            </w:pPr>
            <w:r w:rsidRPr="00BD6C2F">
              <w:rPr>
                <w:rFonts w:ascii="Times New Roman" w:hAnsi="Times New Roman" w:cs="Times New Roman"/>
                <w:color w:val="000000"/>
                <w:sz w:val="24"/>
                <w:szCs w:val="24"/>
                <w:lang w:val="kk-KZ"/>
              </w:rPr>
              <w:lastRenderedPageBreak/>
              <w:t>7</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 xml:space="preserve">Реагент для определения общего билирубина </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"Реагент предназначен для диагностического количественного определения in vitro общего билирубина в сыворотке и плазме крови человека с помощью фотометрии с использованием 2,4-дихлоранилина (ДХА) и детергентов. Уровни билирубина (прямого или общего), органического соединения, которое образуется при нормальном и патологическом разрушении эритроцитов, определяют для диагностики и лечения заболеваний печени, гемолитических заболеваний системы крови и метаболических нарушений, в том числе гепатита и</w:t>
            </w:r>
            <w:r w:rsidRPr="00BD6C2F">
              <w:rPr>
                <w:rFonts w:ascii="Times New Roman" w:hAnsi="Times New Roman" w:cs="Times New Roman"/>
                <w:sz w:val="24"/>
                <w:szCs w:val="24"/>
              </w:rPr>
              <w:br/>
              <w:t>закупорки желчных протоков.</w:t>
            </w:r>
            <w:r w:rsidRPr="00BD6C2F">
              <w:rPr>
                <w:rFonts w:ascii="Times New Roman" w:hAnsi="Times New Roman" w:cs="Times New Roman"/>
                <w:sz w:val="24"/>
                <w:szCs w:val="24"/>
              </w:rPr>
              <w:br/>
              <w:t>Реагент 1:</w:t>
            </w:r>
            <w:r w:rsidRPr="00BD6C2F">
              <w:rPr>
                <w:rFonts w:ascii="Times New Roman" w:hAnsi="Times New Roman" w:cs="Times New Roman"/>
                <w:sz w:val="24"/>
                <w:szCs w:val="24"/>
              </w:rPr>
              <w:br/>
              <w:t>Фосфатный буфер 50 ммоль/Л</w:t>
            </w:r>
            <w:r w:rsidRPr="00BD6C2F">
              <w:rPr>
                <w:rFonts w:ascii="Times New Roman" w:hAnsi="Times New Roman" w:cs="Times New Roman"/>
                <w:sz w:val="24"/>
                <w:szCs w:val="24"/>
              </w:rPr>
              <w:br/>
              <w:t>NaCl 150 ммоль/Л</w:t>
            </w:r>
            <w:r w:rsidRPr="00BD6C2F">
              <w:rPr>
                <w:rFonts w:ascii="Times New Roman" w:hAnsi="Times New Roman" w:cs="Times New Roman"/>
                <w:sz w:val="24"/>
                <w:szCs w:val="24"/>
              </w:rPr>
              <w:br/>
              <w:t>Детергенты, стабилизаторы</w:t>
            </w:r>
            <w:r w:rsidRPr="00BD6C2F">
              <w:rPr>
                <w:rFonts w:ascii="Times New Roman" w:hAnsi="Times New Roman" w:cs="Times New Roman"/>
                <w:sz w:val="24"/>
                <w:szCs w:val="24"/>
              </w:rPr>
              <w:br/>
              <w:t>Реагент 2:</w:t>
            </w:r>
            <w:r w:rsidRPr="00BD6C2F">
              <w:rPr>
                <w:rFonts w:ascii="Times New Roman" w:hAnsi="Times New Roman" w:cs="Times New Roman"/>
                <w:sz w:val="24"/>
                <w:szCs w:val="24"/>
              </w:rPr>
              <w:br/>
              <w:t>2,4-дихлорфенил диазониевая соль 5 ммоль/Л</w:t>
            </w:r>
            <w:r w:rsidRPr="00BD6C2F">
              <w:rPr>
                <w:rFonts w:ascii="Times New Roman" w:hAnsi="Times New Roman" w:cs="Times New Roman"/>
                <w:sz w:val="24"/>
                <w:szCs w:val="24"/>
              </w:rPr>
              <w:br/>
              <w:t>HCl 130 ммоль/Л</w:t>
            </w:r>
            <w:r w:rsidRPr="00BD6C2F">
              <w:rPr>
                <w:rFonts w:ascii="Times New Roman" w:hAnsi="Times New Roman" w:cs="Times New Roman"/>
                <w:sz w:val="24"/>
                <w:szCs w:val="24"/>
              </w:rPr>
              <w:br/>
              <w:t>Детергент</w:t>
            </w:r>
            <w:r w:rsidRPr="00BD6C2F">
              <w:rPr>
                <w:rFonts w:ascii="Times New Roman" w:hAnsi="Times New Roman" w:cs="Times New Roman"/>
                <w:sz w:val="24"/>
                <w:szCs w:val="24"/>
              </w:rPr>
              <w:br/>
            </w:r>
            <w:r w:rsidRPr="00BD6C2F">
              <w:rPr>
                <w:rFonts w:ascii="Times New Roman" w:hAnsi="Times New Roman" w:cs="Times New Roman"/>
                <w:sz w:val="24"/>
                <w:szCs w:val="24"/>
              </w:rPr>
              <w:lastRenderedPageBreak/>
              <w:t>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lastRenderedPageBreak/>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48</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13 000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624 000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kk-KZ"/>
              </w:rPr>
            </w:pPr>
            <w:r w:rsidRPr="00BD6C2F">
              <w:rPr>
                <w:rFonts w:ascii="Times New Roman" w:hAnsi="Times New Roman" w:cs="Times New Roman"/>
                <w:color w:val="000000"/>
                <w:sz w:val="24"/>
                <w:szCs w:val="24"/>
                <w:lang w:val="kk-KZ"/>
              </w:rPr>
              <w:lastRenderedPageBreak/>
              <w:t>8</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 xml:space="preserve">Реагент для определения аспартатаминотрансферазы </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"Реагент предназначен для диагностического количественного определения in vitro аспартатаминотрансферазы в сыворотке и плазме крови</w:t>
            </w:r>
            <w:r w:rsidRPr="00BD6C2F">
              <w:rPr>
                <w:rFonts w:ascii="Times New Roman" w:hAnsi="Times New Roman" w:cs="Times New Roman"/>
                <w:sz w:val="24"/>
                <w:szCs w:val="24"/>
              </w:rPr>
              <w:br/>
              <w:t>человека с помощью УФ-теста с использованием L-аспартата и 2-оксоглутарата. Уровни аспартатаминотрансферазы определяют для диагностики и</w:t>
            </w:r>
            <w:r w:rsidRPr="00BD6C2F">
              <w:rPr>
                <w:rFonts w:ascii="Times New Roman" w:hAnsi="Times New Roman" w:cs="Times New Roman"/>
                <w:sz w:val="24"/>
                <w:szCs w:val="24"/>
              </w:rPr>
              <w:br/>
              <w:t>лечения некоторых заболеваний печени и сердца.</w:t>
            </w:r>
            <w:r w:rsidRPr="00BD6C2F">
              <w:rPr>
                <w:rFonts w:ascii="Times New Roman" w:hAnsi="Times New Roman" w:cs="Times New Roman"/>
                <w:sz w:val="24"/>
                <w:szCs w:val="24"/>
              </w:rPr>
              <w:br/>
              <w:t>Реагент 1: ТРИС, pH 7,65 110 ммоль/л</w:t>
            </w:r>
            <w:r w:rsidRPr="00BD6C2F">
              <w:rPr>
                <w:rFonts w:ascii="Times New Roman" w:hAnsi="Times New Roman" w:cs="Times New Roman"/>
                <w:sz w:val="24"/>
                <w:szCs w:val="24"/>
              </w:rPr>
              <w:br/>
              <w:t>L-аспартат 320 ммоль/л</w:t>
            </w:r>
            <w:r w:rsidRPr="00BD6C2F">
              <w:rPr>
                <w:rFonts w:ascii="Times New Roman" w:hAnsi="Times New Roman" w:cs="Times New Roman"/>
                <w:sz w:val="24"/>
                <w:szCs w:val="24"/>
              </w:rPr>
              <w:br/>
              <w:t>МДГ (малатдегидрогеназа) ≥ 800 Е/л</w:t>
            </w:r>
            <w:r w:rsidRPr="00BD6C2F">
              <w:rPr>
                <w:rFonts w:ascii="Times New Roman" w:hAnsi="Times New Roman" w:cs="Times New Roman"/>
                <w:sz w:val="24"/>
                <w:szCs w:val="24"/>
              </w:rPr>
              <w:br/>
              <w:t>ЛДГ (лактатдегидрогеназа) ≥ 1200 Е/л</w:t>
            </w:r>
            <w:r w:rsidRPr="00BD6C2F">
              <w:rPr>
                <w:rFonts w:ascii="Times New Roman" w:hAnsi="Times New Roman" w:cs="Times New Roman"/>
                <w:sz w:val="24"/>
                <w:szCs w:val="24"/>
              </w:rPr>
              <w:br/>
              <w:t>Азид натрия &lt;1 г/л</w:t>
            </w:r>
            <w:r w:rsidRPr="00BD6C2F">
              <w:rPr>
                <w:rFonts w:ascii="Times New Roman" w:hAnsi="Times New Roman" w:cs="Times New Roman"/>
                <w:sz w:val="24"/>
                <w:szCs w:val="24"/>
              </w:rPr>
              <w:br/>
              <w:t>Реагент 2:</w:t>
            </w:r>
            <w:r w:rsidRPr="00BD6C2F">
              <w:rPr>
                <w:rFonts w:ascii="Times New Roman" w:hAnsi="Times New Roman" w:cs="Times New Roman"/>
                <w:sz w:val="24"/>
                <w:szCs w:val="24"/>
              </w:rPr>
              <w:br/>
              <w:t>2-оксоглутарат 65 ммоль/л</w:t>
            </w:r>
            <w:r w:rsidRPr="00BD6C2F">
              <w:rPr>
                <w:rFonts w:ascii="Times New Roman" w:hAnsi="Times New Roman" w:cs="Times New Roman"/>
                <w:sz w:val="24"/>
                <w:szCs w:val="24"/>
              </w:rPr>
              <w:br/>
              <w:t>НАДН 1 ммоль/л</w:t>
            </w:r>
            <w:r w:rsidRPr="00BD6C2F">
              <w:rPr>
                <w:rFonts w:ascii="Times New Roman" w:hAnsi="Times New Roman" w:cs="Times New Roman"/>
                <w:sz w:val="24"/>
                <w:szCs w:val="24"/>
              </w:rPr>
              <w:br/>
              <w:t>Азид натрия &lt;1 г/л, 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36</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19 000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684 000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en-US"/>
              </w:rPr>
            </w:pPr>
            <w:r w:rsidRPr="00BD6C2F">
              <w:rPr>
                <w:rFonts w:ascii="Times New Roman" w:hAnsi="Times New Roman" w:cs="Times New Roman"/>
                <w:color w:val="000000"/>
                <w:sz w:val="24"/>
                <w:szCs w:val="24"/>
                <w:lang w:val="en-US"/>
              </w:rPr>
              <w:t>9</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 xml:space="preserve">Реагент для определения щелочной фосфатазы </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"Реагент предназначен для диагностического количественного определения in vitro щелочной фосфатазы в сыворотке и плазме крови человека</w:t>
            </w:r>
            <w:r w:rsidRPr="00BD6C2F">
              <w:rPr>
                <w:rFonts w:ascii="Times New Roman" w:hAnsi="Times New Roman" w:cs="Times New Roman"/>
                <w:sz w:val="24"/>
                <w:szCs w:val="24"/>
              </w:rPr>
              <w:br/>
              <w:t>методом кинетической фотометрии с использованием п-нитрофенилфосфата. Определение активности щелочной фосфатазы или ее изоферментов используется в</w:t>
            </w:r>
            <w:r w:rsidRPr="00BD6C2F">
              <w:rPr>
                <w:rFonts w:ascii="Times New Roman" w:hAnsi="Times New Roman" w:cs="Times New Roman"/>
                <w:sz w:val="24"/>
                <w:szCs w:val="24"/>
              </w:rPr>
              <w:br/>
              <w:t xml:space="preserve">диагностике и лечении болезней печени, костей, паращитовидных железа и кишечника. </w:t>
            </w:r>
            <w:r w:rsidRPr="00BD6C2F">
              <w:rPr>
                <w:rFonts w:ascii="Times New Roman" w:hAnsi="Times New Roman" w:cs="Times New Roman"/>
                <w:sz w:val="24"/>
                <w:szCs w:val="24"/>
              </w:rPr>
              <w:br/>
              <w:t>Реагент 1:</w:t>
            </w:r>
            <w:r w:rsidRPr="00BD6C2F">
              <w:rPr>
                <w:rFonts w:ascii="Times New Roman" w:hAnsi="Times New Roman" w:cs="Times New Roman"/>
                <w:sz w:val="24"/>
                <w:szCs w:val="24"/>
              </w:rPr>
              <w:br/>
              <w:t>2-амино-2-метил-1-пропанол, pH 10,4 440 ммоль/Л</w:t>
            </w:r>
            <w:r w:rsidRPr="00BD6C2F">
              <w:rPr>
                <w:rFonts w:ascii="Times New Roman" w:hAnsi="Times New Roman" w:cs="Times New Roman"/>
                <w:sz w:val="24"/>
                <w:szCs w:val="24"/>
              </w:rPr>
              <w:br/>
              <w:t>Сульфат магния 2,0 ммоль/Л</w:t>
            </w:r>
            <w:r w:rsidRPr="00BD6C2F">
              <w:rPr>
                <w:rFonts w:ascii="Times New Roman" w:hAnsi="Times New Roman" w:cs="Times New Roman"/>
                <w:sz w:val="24"/>
                <w:szCs w:val="24"/>
              </w:rPr>
              <w:br/>
              <w:t>Сульфат цинка 1,25 ммоль/Л</w:t>
            </w:r>
            <w:r w:rsidRPr="00BD6C2F">
              <w:rPr>
                <w:rFonts w:ascii="Times New Roman" w:hAnsi="Times New Roman" w:cs="Times New Roman"/>
                <w:sz w:val="24"/>
                <w:szCs w:val="24"/>
              </w:rPr>
              <w:br/>
              <w:t>HEDTA 2,5 ммоль/Л</w:t>
            </w:r>
            <w:r w:rsidRPr="00BD6C2F">
              <w:rPr>
                <w:rFonts w:ascii="Times New Roman" w:hAnsi="Times New Roman" w:cs="Times New Roman"/>
                <w:sz w:val="24"/>
                <w:szCs w:val="24"/>
              </w:rPr>
              <w:br/>
            </w:r>
            <w:r w:rsidRPr="00BD6C2F">
              <w:rPr>
                <w:rFonts w:ascii="Times New Roman" w:hAnsi="Times New Roman" w:cs="Times New Roman"/>
                <w:sz w:val="24"/>
                <w:szCs w:val="24"/>
              </w:rPr>
              <w:lastRenderedPageBreak/>
              <w:t>Азид натрия &lt; 1 г/Л</w:t>
            </w:r>
            <w:r w:rsidRPr="00BD6C2F">
              <w:rPr>
                <w:rFonts w:ascii="Times New Roman" w:hAnsi="Times New Roman" w:cs="Times New Roman"/>
                <w:sz w:val="24"/>
                <w:szCs w:val="24"/>
              </w:rPr>
              <w:br/>
              <w:t>Реагент 2:</w:t>
            </w:r>
            <w:r w:rsidRPr="00BD6C2F">
              <w:rPr>
                <w:rFonts w:ascii="Times New Roman" w:hAnsi="Times New Roman" w:cs="Times New Roman"/>
                <w:sz w:val="24"/>
                <w:szCs w:val="24"/>
              </w:rPr>
              <w:br/>
              <w:t>п-нитрофенилфосфат 80 ммоль/Л</w:t>
            </w:r>
            <w:r w:rsidRPr="00BD6C2F">
              <w:rPr>
                <w:rFonts w:ascii="Times New Roman" w:hAnsi="Times New Roman" w:cs="Times New Roman"/>
                <w:sz w:val="24"/>
                <w:szCs w:val="24"/>
              </w:rPr>
              <w:br/>
              <w:t>Азид натрия &lt; 1 г/Л</w:t>
            </w:r>
            <w:r w:rsidRPr="00BD6C2F">
              <w:rPr>
                <w:rFonts w:ascii="Times New Roman" w:hAnsi="Times New Roman" w:cs="Times New Roman"/>
                <w:sz w:val="24"/>
                <w:szCs w:val="24"/>
              </w:rPr>
              <w:br/>
              <w:t>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lastRenderedPageBreak/>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15</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12 000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180 000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en-US"/>
              </w:rPr>
            </w:pPr>
            <w:r w:rsidRPr="00BD6C2F">
              <w:rPr>
                <w:rFonts w:ascii="Times New Roman" w:hAnsi="Times New Roman" w:cs="Times New Roman"/>
                <w:color w:val="000000"/>
                <w:sz w:val="24"/>
                <w:szCs w:val="24"/>
                <w:lang w:val="en-US"/>
              </w:rPr>
              <w:lastRenderedPageBreak/>
              <w:t>10</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 xml:space="preserve">Реагент для определения глутамилтрансферазы </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"Реагент предназначен для диагностического количественного определения in vitro гаммаглутамилтрансферазы (ГГТ) в сыворотке или плазме крови. Значения уровня гаммаглутамилтрансферазы используются для диагностики и лечения заболеваний печени, таких как</w:t>
            </w:r>
            <w:r w:rsidRPr="00BD6C2F">
              <w:rPr>
                <w:rFonts w:ascii="Times New Roman" w:hAnsi="Times New Roman" w:cs="Times New Roman"/>
                <w:sz w:val="24"/>
                <w:szCs w:val="24"/>
              </w:rPr>
              <w:br/>
              <w:t xml:space="preserve">алкогольный цирроз печени и первичные или вторичные опухоли печени. </w:t>
            </w:r>
            <w:r w:rsidRPr="00BD6C2F">
              <w:rPr>
                <w:rFonts w:ascii="Times New Roman" w:hAnsi="Times New Roman" w:cs="Times New Roman"/>
                <w:sz w:val="24"/>
                <w:szCs w:val="24"/>
              </w:rPr>
              <w:br/>
              <w:t>Реагент 1:</w:t>
            </w:r>
            <w:r w:rsidRPr="00BD6C2F">
              <w:rPr>
                <w:rFonts w:ascii="Times New Roman" w:hAnsi="Times New Roman" w:cs="Times New Roman"/>
                <w:sz w:val="24"/>
                <w:szCs w:val="24"/>
              </w:rPr>
              <w:br/>
              <w:t>ТРИС, pH 8,25 137 ммоль/л</w:t>
            </w:r>
            <w:r w:rsidRPr="00BD6C2F">
              <w:rPr>
                <w:rFonts w:ascii="Times New Roman" w:hAnsi="Times New Roman" w:cs="Times New Roman"/>
                <w:sz w:val="24"/>
                <w:szCs w:val="24"/>
              </w:rPr>
              <w:br/>
              <w:t>Глицилглицин 137 ммоль/л</w:t>
            </w:r>
            <w:r w:rsidRPr="00BD6C2F">
              <w:rPr>
                <w:rFonts w:ascii="Times New Roman" w:hAnsi="Times New Roman" w:cs="Times New Roman"/>
                <w:sz w:val="24"/>
                <w:szCs w:val="24"/>
              </w:rPr>
              <w:br/>
              <w:t>Азид натрия &lt; 1 г/л</w:t>
            </w:r>
            <w:r w:rsidRPr="00BD6C2F">
              <w:rPr>
                <w:rFonts w:ascii="Times New Roman" w:hAnsi="Times New Roman" w:cs="Times New Roman"/>
                <w:sz w:val="24"/>
                <w:szCs w:val="24"/>
              </w:rPr>
              <w:br/>
              <w:t>Реагент 2:</w:t>
            </w:r>
            <w:r w:rsidRPr="00BD6C2F">
              <w:rPr>
                <w:rFonts w:ascii="Times New Roman" w:hAnsi="Times New Roman" w:cs="Times New Roman"/>
                <w:sz w:val="24"/>
                <w:szCs w:val="24"/>
              </w:rPr>
              <w:br/>
              <w:t>L-гамма-глутамил-3-карбокси-4-нитранилид 22 ммоль/</w:t>
            </w:r>
            <w:r w:rsidRPr="00BD6C2F">
              <w:rPr>
                <w:rFonts w:ascii="Times New Roman" w:hAnsi="Times New Roman" w:cs="Times New Roman"/>
                <w:sz w:val="24"/>
                <w:szCs w:val="24"/>
              </w:rPr>
              <w:br/>
              <w:t>л</w:t>
            </w:r>
            <w:r w:rsidRPr="00BD6C2F">
              <w:rPr>
                <w:rFonts w:ascii="Times New Roman" w:hAnsi="Times New Roman" w:cs="Times New Roman"/>
                <w:sz w:val="24"/>
                <w:szCs w:val="24"/>
              </w:rPr>
              <w:br/>
              <w:t>Азид натрия &lt; 1 г/л</w:t>
            </w:r>
            <w:r w:rsidRPr="00BD6C2F">
              <w:rPr>
                <w:rFonts w:ascii="Times New Roman" w:hAnsi="Times New Roman" w:cs="Times New Roman"/>
                <w:sz w:val="24"/>
                <w:szCs w:val="24"/>
              </w:rPr>
              <w:br/>
              <w:t>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15</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25 500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382 500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en-US"/>
              </w:rPr>
            </w:pPr>
            <w:r w:rsidRPr="00BD6C2F">
              <w:rPr>
                <w:rFonts w:ascii="Times New Roman" w:hAnsi="Times New Roman" w:cs="Times New Roman"/>
                <w:color w:val="000000"/>
                <w:sz w:val="24"/>
                <w:szCs w:val="24"/>
                <w:lang w:val="en-US"/>
              </w:rPr>
              <w:t>11</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 xml:space="preserve">Реагент для определения α-амилазы </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"Реагент предназначен для диагностического количественного определения in vitro активности фермента амилазы в сыворотке крови, плазме крови и моче человека методом ферментативного фотометрического анализа. Определение уровня амилазы используется главным образом для диагностики и лечения панкреатита (воспаление поджелудочной железы). Реагент 1: Буфер Гудса, pH 7,1 0,1 ммоль/Л</w:t>
            </w:r>
            <w:r w:rsidRPr="00BD6C2F">
              <w:rPr>
                <w:rFonts w:ascii="Times New Roman" w:hAnsi="Times New Roman" w:cs="Times New Roman"/>
                <w:sz w:val="24"/>
                <w:szCs w:val="24"/>
              </w:rPr>
              <w:br/>
            </w:r>
            <w:r w:rsidRPr="00BD6C2F">
              <w:rPr>
                <w:rFonts w:ascii="Times New Roman" w:hAnsi="Times New Roman" w:cs="Times New Roman"/>
                <w:sz w:val="24"/>
                <w:szCs w:val="24"/>
              </w:rPr>
              <w:lastRenderedPageBreak/>
              <w:t>NaCl 62,5 ммоль/Л</w:t>
            </w:r>
            <w:r w:rsidRPr="00BD6C2F">
              <w:rPr>
                <w:rFonts w:ascii="Times New Roman" w:hAnsi="Times New Roman" w:cs="Times New Roman"/>
                <w:sz w:val="24"/>
                <w:szCs w:val="24"/>
              </w:rPr>
              <w:br/>
              <w:t>MgCl2 12,5 ммоль/Л</w:t>
            </w:r>
            <w:r w:rsidRPr="00BD6C2F">
              <w:rPr>
                <w:rFonts w:ascii="Times New Roman" w:hAnsi="Times New Roman" w:cs="Times New Roman"/>
                <w:sz w:val="24"/>
                <w:szCs w:val="24"/>
              </w:rPr>
              <w:br/>
              <w:t>α-глюкозидаза ≥ 2,5 кЕ/Л</w:t>
            </w:r>
            <w:r w:rsidRPr="00BD6C2F">
              <w:rPr>
                <w:rFonts w:ascii="Times New Roman" w:hAnsi="Times New Roman" w:cs="Times New Roman"/>
                <w:sz w:val="24"/>
                <w:szCs w:val="24"/>
              </w:rPr>
              <w:br/>
              <w:t>Азид натрия &lt;1 г/Л</w:t>
            </w:r>
            <w:r w:rsidRPr="00BD6C2F">
              <w:rPr>
                <w:rFonts w:ascii="Times New Roman" w:hAnsi="Times New Roman" w:cs="Times New Roman"/>
                <w:sz w:val="24"/>
                <w:szCs w:val="24"/>
              </w:rPr>
              <w:br/>
              <w:t>Реагент 2: Буфер Гудса, pH 7,1 0,1 ммоль/Л</w:t>
            </w:r>
            <w:r w:rsidRPr="00BD6C2F">
              <w:rPr>
                <w:rFonts w:ascii="Times New Roman" w:hAnsi="Times New Roman" w:cs="Times New Roman"/>
                <w:sz w:val="24"/>
                <w:szCs w:val="24"/>
              </w:rPr>
              <w:br/>
              <w:t>EPS-G7 8,5 ммоль/Л</w:t>
            </w:r>
            <w:r w:rsidRPr="00BD6C2F">
              <w:rPr>
                <w:rFonts w:ascii="Times New Roman" w:hAnsi="Times New Roman" w:cs="Times New Roman"/>
                <w:sz w:val="24"/>
                <w:szCs w:val="24"/>
              </w:rPr>
              <w:br/>
              <w:t>Азид натрия &lt;1 г/Л</w:t>
            </w:r>
            <w:r w:rsidRPr="00BD6C2F">
              <w:rPr>
                <w:rFonts w:ascii="Times New Roman" w:hAnsi="Times New Roman" w:cs="Times New Roman"/>
                <w:sz w:val="24"/>
                <w:szCs w:val="24"/>
              </w:rPr>
              <w:br/>
              <w:t>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lastRenderedPageBreak/>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12</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28 600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343 200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en-US"/>
              </w:rPr>
            </w:pPr>
            <w:r w:rsidRPr="00BD6C2F">
              <w:rPr>
                <w:rFonts w:ascii="Times New Roman" w:hAnsi="Times New Roman" w:cs="Times New Roman"/>
                <w:color w:val="000000"/>
                <w:sz w:val="24"/>
                <w:szCs w:val="24"/>
                <w:lang w:val="en-US"/>
              </w:rPr>
              <w:lastRenderedPageBreak/>
              <w:t>12</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 xml:space="preserve">Реагент для определения холестерина </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"Реагент предназначен для диагностического количественного определения in vitro холестерина в сыворотке и плазме крови человека с помощью ферментативного фотометрического анализа (реакция Триндера). Определение холестерина используется в диагностике и лечении заболеваний, при которых наблюдается повышенное содержание холестерина в крови, а также нарушений метаболизма липидов и липопротеинов.</w:t>
            </w:r>
            <w:r w:rsidRPr="00BD6C2F">
              <w:rPr>
                <w:rFonts w:ascii="Times New Roman" w:hAnsi="Times New Roman" w:cs="Times New Roman"/>
                <w:sz w:val="24"/>
                <w:szCs w:val="24"/>
              </w:rPr>
              <w:br/>
              <w:t>Реагент</w:t>
            </w:r>
            <w:r w:rsidRPr="00BD6C2F">
              <w:rPr>
                <w:rFonts w:ascii="Times New Roman" w:hAnsi="Times New Roman" w:cs="Times New Roman"/>
                <w:sz w:val="24"/>
                <w:szCs w:val="24"/>
              </w:rPr>
              <w:br/>
              <w:t>Буфер Гудса, pH 6,7 50 ммоль/Л</w:t>
            </w:r>
            <w:r w:rsidRPr="00BD6C2F">
              <w:rPr>
                <w:rFonts w:ascii="Times New Roman" w:hAnsi="Times New Roman" w:cs="Times New Roman"/>
                <w:sz w:val="24"/>
                <w:szCs w:val="24"/>
              </w:rPr>
              <w:br/>
              <w:t>Фенол 5 ммоль/Л</w:t>
            </w:r>
            <w:r w:rsidRPr="00BD6C2F">
              <w:rPr>
                <w:rFonts w:ascii="Times New Roman" w:hAnsi="Times New Roman" w:cs="Times New Roman"/>
                <w:sz w:val="24"/>
                <w:szCs w:val="24"/>
              </w:rPr>
              <w:br/>
              <w:t>4-аминоантипирин 0,3 ммоль/Л</w:t>
            </w:r>
            <w:r w:rsidRPr="00BD6C2F">
              <w:rPr>
                <w:rFonts w:ascii="Times New Roman" w:hAnsi="Times New Roman" w:cs="Times New Roman"/>
                <w:sz w:val="24"/>
                <w:szCs w:val="24"/>
              </w:rPr>
              <w:br/>
              <w:t>Холестеролэстераза (CHE) ≥ 200 Е/Л</w:t>
            </w:r>
            <w:r w:rsidRPr="00BD6C2F">
              <w:rPr>
                <w:rFonts w:ascii="Times New Roman" w:hAnsi="Times New Roman" w:cs="Times New Roman"/>
                <w:sz w:val="24"/>
                <w:szCs w:val="24"/>
              </w:rPr>
              <w:br/>
              <w:t>Холестеролоксидаза (CHO) ≥ 50 Е/Л</w:t>
            </w:r>
            <w:r w:rsidRPr="00BD6C2F">
              <w:rPr>
                <w:rFonts w:ascii="Times New Roman" w:hAnsi="Times New Roman" w:cs="Times New Roman"/>
                <w:sz w:val="24"/>
                <w:szCs w:val="24"/>
              </w:rPr>
              <w:br/>
              <w:t>Пероксидаза (POD) ≥ 3 кЕ/Л</w:t>
            </w:r>
            <w:r w:rsidRPr="00BD6C2F">
              <w:rPr>
                <w:rFonts w:ascii="Times New Roman" w:hAnsi="Times New Roman" w:cs="Times New Roman"/>
                <w:sz w:val="24"/>
                <w:szCs w:val="24"/>
              </w:rPr>
              <w:br/>
              <w:t>Азид натрия 0,95 г/Л,Для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36</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30 000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1 080 000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en-US"/>
              </w:rPr>
            </w:pPr>
            <w:r w:rsidRPr="00BD6C2F">
              <w:rPr>
                <w:rFonts w:ascii="Times New Roman" w:hAnsi="Times New Roman" w:cs="Times New Roman"/>
                <w:color w:val="000000"/>
                <w:sz w:val="24"/>
                <w:szCs w:val="24"/>
                <w:lang w:val="en-US"/>
              </w:rPr>
              <w:t>13</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 xml:space="preserve">Реагент для определения глюкозы, пероксидазный метод </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 xml:space="preserve">"Реагент предназначен для диагностического количественного определения in vitro глюкозы в сыворотке крови, плазме крови и моче человека с использованием глюкозо-гексокиназного метода с помощью колориметрии. Определение глюкозы используется в диагностике и лечении нарушений </w:t>
            </w:r>
            <w:r w:rsidRPr="00BD6C2F">
              <w:rPr>
                <w:rFonts w:ascii="Times New Roman" w:hAnsi="Times New Roman" w:cs="Times New Roman"/>
                <w:sz w:val="24"/>
                <w:szCs w:val="24"/>
              </w:rPr>
              <w:lastRenderedPageBreak/>
              <w:t>углеводного обмена, в том числе сахарного диабета, неонатальной и идиопатической гипогликемии, а также карциномы из клеток островков поджелудочной железы.</w:t>
            </w:r>
            <w:r w:rsidRPr="00BD6C2F">
              <w:rPr>
                <w:rFonts w:ascii="Times New Roman" w:hAnsi="Times New Roman" w:cs="Times New Roman"/>
                <w:sz w:val="24"/>
                <w:szCs w:val="24"/>
              </w:rPr>
              <w:br/>
              <w:t>Реагент</w:t>
            </w:r>
            <w:r w:rsidRPr="00BD6C2F">
              <w:rPr>
                <w:rFonts w:ascii="Times New Roman" w:hAnsi="Times New Roman" w:cs="Times New Roman"/>
                <w:sz w:val="24"/>
                <w:szCs w:val="24"/>
              </w:rPr>
              <w:br/>
              <w:t>Фосфатный буфер, pH 7,40 13,8 ммоль/Л</w:t>
            </w:r>
            <w:r w:rsidRPr="00BD6C2F">
              <w:rPr>
                <w:rFonts w:ascii="Times New Roman" w:hAnsi="Times New Roman" w:cs="Times New Roman"/>
                <w:sz w:val="24"/>
                <w:szCs w:val="24"/>
              </w:rPr>
              <w:br/>
              <w:t>Фенол 10 ммоль/Л</w:t>
            </w:r>
            <w:r w:rsidRPr="00BD6C2F">
              <w:rPr>
                <w:rFonts w:ascii="Times New Roman" w:hAnsi="Times New Roman" w:cs="Times New Roman"/>
                <w:sz w:val="24"/>
                <w:szCs w:val="24"/>
              </w:rPr>
              <w:br/>
              <w:t>4-аминоантипирин 0,3 ммоль/Л</w:t>
            </w:r>
            <w:r w:rsidRPr="00BD6C2F">
              <w:rPr>
                <w:rFonts w:ascii="Times New Roman" w:hAnsi="Times New Roman" w:cs="Times New Roman"/>
                <w:sz w:val="24"/>
                <w:szCs w:val="24"/>
              </w:rPr>
              <w:br/>
              <w:t>Глюкозооксидаза ≥ 10 000 Е/Л</w:t>
            </w:r>
            <w:r w:rsidRPr="00BD6C2F">
              <w:rPr>
                <w:rFonts w:ascii="Times New Roman" w:hAnsi="Times New Roman" w:cs="Times New Roman"/>
                <w:sz w:val="24"/>
                <w:szCs w:val="24"/>
              </w:rPr>
              <w:br/>
              <w:t>Реагент</w:t>
            </w:r>
            <w:r w:rsidRPr="00BD6C2F">
              <w:rPr>
                <w:rFonts w:ascii="Times New Roman" w:hAnsi="Times New Roman" w:cs="Times New Roman"/>
                <w:sz w:val="24"/>
                <w:szCs w:val="24"/>
              </w:rPr>
              <w:br/>
              <w:t>Пероксидаза ≥ 700 Е/Л</w:t>
            </w:r>
            <w:r w:rsidRPr="00BD6C2F">
              <w:rPr>
                <w:rFonts w:ascii="Times New Roman" w:hAnsi="Times New Roman" w:cs="Times New Roman"/>
                <w:sz w:val="24"/>
                <w:szCs w:val="24"/>
              </w:rPr>
              <w:br/>
              <w:t>Азид натрия &lt;0,1%, 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lastRenderedPageBreak/>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36</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20 000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720 000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color w:val="000000"/>
                <w:sz w:val="24"/>
                <w:szCs w:val="24"/>
              </w:rPr>
              <w:lastRenderedPageBreak/>
              <w:t>14</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 xml:space="preserve">Реагент для определения мочевины </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"Реагент предназначен для количественного диагностического определения in vitro мочевины/азота мочевины (конечный продукт метаболизма азота) в сыворотке крови, плазме крови и моче человека методом ферментативного анализа с оценкой поглощения в УФ-спектре с использованием уреазы и глутаматдегидрогеназы. Значения, полученные с помощью этого анализа, используются в диагностике и лечении некоторых заболеваний почек и метаболических нарушений. A</w:t>
            </w:r>
            <w:r w:rsidRPr="00BD6C2F">
              <w:rPr>
                <w:rFonts w:ascii="Times New Roman" w:hAnsi="Times New Roman" w:cs="Times New Roman"/>
                <w:sz w:val="24"/>
                <w:szCs w:val="24"/>
              </w:rPr>
              <w:br/>
              <w:t>Реагент 1: ТРИС, pH 7,8 150 ммоль/Л</w:t>
            </w:r>
            <w:r w:rsidRPr="00BD6C2F">
              <w:rPr>
                <w:rFonts w:ascii="Times New Roman" w:hAnsi="Times New Roman" w:cs="Times New Roman"/>
                <w:sz w:val="24"/>
                <w:szCs w:val="24"/>
              </w:rPr>
              <w:br/>
              <w:t>2-оксоглутарат 9 ммоль/Л</w:t>
            </w:r>
            <w:r w:rsidRPr="00BD6C2F">
              <w:rPr>
                <w:rFonts w:ascii="Times New Roman" w:hAnsi="Times New Roman" w:cs="Times New Roman"/>
                <w:sz w:val="24"/>
                <w:szCs w:val="24"/>
              </w:rPr>
              <w:br/>
              <w:t>АДФ 0,75 ммоль/Л</w:t>
            </w:r>
            <w:r w:rsidRPr="00BD6C2F">
              <w:rPr>
                <w:rFonts w:ascii="Times New Roman" w:hAnsi="Times New Roman" w:cs="Times New Roman"/>
                <w:sz w:val="24"/>
                <w:szCs w:val="24"/>
              </w:rPr>
              <w:br/>
              <w:t>Уреаза ≥ 7 кЕ/Л</w:t>
            </w:r>
            <w:r w:rsidRPr="00BD6C2F">
              <w:rPr>
                <w:rFonts w:ascii="Times New Roman" w:hAnsi="Times New Roman" w:cs="Times New Roman"/>
                <w:sz w:val="24"/>
                <w:szCs w:val="24"/>
              </w:rPr>
              <w:br/>
              <w:t>ГлДГ (глутаматдегидрогеназа) ≥ 1 кЕ/Л</w:t>
            </w:r>
            <w:r w:rsidRPr="00BD6C2F">
              <w:rPr>
                <w:rFonts w:ascii="Times New Roman" w:hAnsi="Times New Roman" w:cs="Times New Roman"/>
                <w:sz w:val="24"/>
                <w:szCs w:val="24"/>
              </w:rPr>
              <w:br/>
              <w:t>Азид натрия &lt;1 г/Л</w:t>
            </w:r>
            <w:r w:rsidRPr="00BD6C2F">
              <w:rPr>
                <w:rFonts w:ascii="Times New Roman" w:hAnsi="Times New Roman" w:cs="Times New Roman"/>
                <w:sz w:val="24"/>
                <w:szCs w:val="24"/>
              </w:rPr>
              <w:br/>
              <w:t>Реагент 2: НАДH 1,3 ммоль/Л</w:t>
            </w:r>
            <w:r w:rsidRPr="00BD6C2F">
              <w:rPr>
                <w:rFonts w:ascii="Times New Roman" w:hAnsi="Times New Roman" w:cs="Times New Roman"/>
                <w:sz w:val="24"/>
                <w:szCs w:val="24"/>
              </w:rPr>
              <w:br/>
              <w:t>Азид натрия &lt;1 г/Л</w:t>
            </w:r>
            <w:r w:rsidRPr="00BD6C2F">
              <w:rPr>
                <w:rFonts w:ascii="Times New Roman" w:hAnsi="Times New Roman" w:cs="Times New Roman"/>
                <w:sz w:val="24"/>
                <w:szCs w:val="24"/>
              </w:rPr>
              <w:br/>
              <w:t>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36</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15 500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558 000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en-US"/>
              </w:rPr>
            </w:pPr>
            <w:r w:rsidRPr="00BD6C2F">
              <w:rPr>
                <w:rFonts w:ascii="Times New Roman" w:hAnsi="Times New Roman" w:cs="Times New Roman"/>
                <w:color w:val="000000"/>
                <w:sz w:val="24"/>
                <w:szCs w:val="24"/>
                <w:lang w:val="en-US"/>
              </w:rPr>
              <w:lastRenderedPageBreak/>
              <w:t>15</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 xml:space="preserve">Реагент для определения креатинина </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Реагент — это диагностический реагент, используемый для количественного определения in vitro креатинина в сыворотке и плазме крови и моче человека с помощью кинетического метода с использованием щелочного пикрата (метод Яффе). Значения уровня креатинина используются для диагностики и лечения заболеваний почек, для целей мониторинга при диализе при почечной патологии и для расчета уровней в моче других аналитов, 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36</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13 500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486 000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en-US"/>
              </w:rPr>
            </w:pPr>
            <w:r w:rsidRPr="00BD6C2F">
              <w:rPr>
                <w:rFonts w:ascii="Times New Roman" w:hAnsi="Times New Roman" w:cs="Times New Roman"/>
                <w:color w:val="000000"/>
                <w:sz w:val="24"/>
                <w:szCs w:val="24"/>
                <w:lang w:val="en-US"/>
              </w:rPr>
              <w:t>16</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 xml:space="preserve">Реагент для определения мочевой кислоты </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"Реагент предназначен для количественного диагностического определения in vitro мочевой кислоты в сыворотке крови, плазме крови и моче ферментативным методом с использованием хромогенной системы в присутствии пероксидазы и уриказы (метод Триндера). Значения, полученные с помощью этого прибора, используются в диагностике и лечении многих заболеваний почек и метаболических нарушений, включая почечную недостаточность, подагру, лейкозы, псориаз, голодание или другие состояния, сопровождающиеся</w:t>
            </w:r>
            <w:r w:rsidRPr="00BD6C2F">
              <w:rPr>
                <w:rFonts w:ascii="Times New Roman" w:hAnsi="Times New Roman" w:cs="Times New Roman"/>
                <w:sz w:val="24"/>
                <w:szCs w:val="24"/>
              </w:rPr>
              <w:br/>
              <w:t>истощением, а также для оценки состояния пациентов, получающих цитотоксические препараты.</w:t>
            </w:r>
            <w:r w:rsidRPr="00BD6C2F">
              <w:rPr>
                <w:rFonts w:ascii="Times New Roman" w:hAnsi="Times New Roman" w:cs="Times New Roman"/>
                <w:sz w:val="24"/>
                <w:szCs w:val="24"/>
              </w:rPr>
              <w:br/>
              <w:t>Реагент 1:</w:t>
            </w:r>
            <w:r w:rsidRPr="00BD6C2F">
              <w:rPr>
                <w:rFonts w:ascii="Times New Roman" w:hAnsi="Times New Roman" w:cs="Times New Roman"/>
                <w:sz w:val="24"/>
                <w:szCs w:val="24"/>
              </w:rPr>
              <w:br/>
              <w:t>Фосфатный буфер, pH 7,00 125 ммоль/Л</w:t>
            </w:r>
            <w:r w:rsidRPr="00BD6C2F">
              <w:rPr>
                <w:rFonts w:ascii="Times New Roman" w:hAnsi="Times New Roman" w:cs="Times New Roman"/>
                <w:sz w:val="24"/>
                <w:szCs w:val="24"/>
              </w:rPr>
              <w:br/>
              <w:t>EHSPT 1,38 ммоль/Л</w:t>
            </w:r>
            <w:r w:rsidRPr="00BD6C2F">
              <w:rPr>
                <w:rFonts w:ascii="Times New Roman" w:hAnsi="Times New Roman" w:cs="Times New Roman"/>
                <w:sz w:val="24"/>
                <w:szCs w:val="24"/>
              </w:rPr>
              <w:br/>
              <w:t>Аскорбатоксидаза ≥ 1100 Е/Л</w:t>
            </w:r>
            <w:r w:rsidRPr="00BD6C2F">
              <w:rPr>
                <w:rFonts w:ascii="Times New Roman" w:hAnsi="Times New Roman" w:cs="Times New Roman"/>
                <w:sz w:val="24"/>
                <w:szCs w:val="24"/>
              </w:rPr>
              <w:br/>
              <w:t>Бычий альбумин 0,2%</w:t>
            </w:r>
            <w:r w:rsidRPr="00BD6C2F">
              <w:rPr>
                <w:rFonts w:ascii="Times New Roman" w:hAnsi="Times New Roman" w:cs="Times New Roman"/>
                <w:sz w:val="24"/>
                <w:szCs w:val="24"/>
              </w:rPr>
              <w:br/>
              <w:t>Азид натрия &lt; 0,1%</w:t>
            </w:r>
            <w:r w:rsidRPr="00BD6C2F">
              <w:rPr>
                <w:rFonts w:ascii="Times New Roman" w:hAnsi="Times New Roman" w:cs="Times New Roman"/>
                <w:sz w:val="24"/>
                <w:szCs w:val="24"/>
              </w:rPr>
              <w:br/>
              <w:t>Реагент 2:</w:t>
            </w:r>
            <w:r w:rsidRPr="00BD6C2F">
              <w:rPr>
                <w:rFonts w:ascii="Times New Roman" w:hAnsi="Times New Roman" w:cs="Times New Roman"/>
                <w:sz w:val="24"/>
                <w:szCs w:val="24"/>
              </w:rPr>
              <w:br/>
              <w:t>4-аминоантипирин 1,8 ммоль/Л</w:t>
            </w:r>
            <w:r w:rsidRPr="00BD6C2F">
              <w:rPr>
                <w:rFonts w:ascii="Times New Roman" w:hAnsi="Times New Roman" w:cs="Times New Roman"/>
                <w:sz w:val="24"/>
                <w:szCs w:val="24"/>
              </w:rPr>
              <w:br/>
              <w:t>Уриказа ≥ 700 Е/Л</w:t>
            </w:r>
            <w:r w:rsidRPr="00BD6C2F">
              <w:rPr>
                <w:rFonts w:ascii="Times New Roman" w:hAnsi="Times New Roman" w:cs="Times New Roman"/>
                <w:sz w:val="24"/>
                <w:szCs w:val="24"/>
              </w:rPr>
              <w:br/>
              <w:t>Пероксидаза ≥ 7500 Е/Л</w:t>
            </w:r>
            <w:r w:rsidRPr="00BD6C2F">
              <w:rPr>
                <w:rFonts w:ascii="Times New Roman" w:hAnsi="Times New Roman" w:cs="Times New Roman"/>
                <w:sz w:val="24"/>
                <w:szCs w:val="24"/>
              </w:rPr>
              <w:br/>
            </w:r>
            <w:r w:rsidRPr="00BD6C2F">
              <w:rPr>
                <w:rFonts w:ascii="Times New Roman" w:hAnsi="Times New Roman" w:cs="Times New Roman"/>
                <w:sz w:val="24"/>
                <w:szCs w:val="24"/>
              </w:rPr>
              <w:lastRenderedPageBreak/>
              <w:t>Ферроцианид 250 мкмоль/Л</w:t>
            </w:r>
            <w:r w:rsidRPr="00BD6C2F">
              <w:rPr>
                <w:rFonts w:ascii="Times New Roman" w:hAnsi="Times New Roman" w:cs="Times New Roman"/>
                <w:sz w:val="24"/>
                <w:szCs w:val="24"/>
              </w:rPr>
              <w:br/>
              <w:t>Бычий альбумин 0,2%</w:t>
            </w:r>
            <w:r w:rsidRPr="00BD6C2F">
              <w:rPr>
                <w:rFonts w:ascii="Times New Roman" w:hAnsi="Times New Roman" w:cs="Times New Roman"/>
                <w:sz w:val="24"/>
                <w:szCs w:val="24"/>
              </w:rPr>
              <w:br/>
              <w:t>Азид натрия &lt; 0,1%</w:t>
            </w:r>
            <w:r w:rsidRPr="00BD6C2F">
              <w:rPr>
                <w:rFonts w:ascii="Times New Roman" w:hAnsi="Times New Roman" w:cs="Times New Roman"/>
                <w:sz w:val="24"/>
                <w:szCs w:val="24"/>
              </w:rPr>
              <w:br/>
              <w:t>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lastRenderedPageBreak/>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36</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20 500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738 000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en-US"/>
              </w:rPr>
            </w:pPr>
            <w:r w:rsidRPr="00BD6C2F">
              <w:rPr>
                <w:rFonts w:ascii="Times New Roman" w:hAnsi="Times New Roman" w:cs="Times New Roman"/>
                <w:color w:val="000000"/>
                <w:sz w:val="24"/>
                <w:szCs w:val="24"/>
                <w:lang w:val="en-US"/>
              </w:rPr>
              <w:lastRenderedPageBreak/>
              <w:t>17</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 xml:space="preserve">Реагент для определения креатинкиназы </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 xml:space="preserve">Диагностический реагент для количественного определения in vitro общей креатинкиназы (КК) в сыворотке или плазме крови колориметрическим методом. </w:t>
            </w:r>
            <w:r w:rsidRPr="00BD6C2F">
              <w:rPr>
                <w:rFonts w:ascii="Times New Roman" w:hAnsi="Times New Roman" w:cs="Times New Roman"/>
                <w:sz w:val="24"/>
                <w:szCs w:val="24"/>
              </w:rPr>
              <w:br/>
              <w:t>Реагент 1:</w:t>
            </w:r>
            <w:r w:rsidRPr="00BD6C2F">
              <w:rPr>
                <w:rFonts w:ascii="Times New Roman" w:hAnsi="Times New Roman" w:cs="Times New Roman"/>
                <w:sz w:val="24"/>
                <w:szCs w:val="24"/>
              </w:rPr>
              <w:br/>
              <w:t>Имидазол, pH 6,7 62,5 ммоль/Л</w:t>
            </w:r>
            <w:r w:rsidRPr="00BD6C2F">
              <w:rPr>
                <w:rFonts w:ascii="Times New Roman" w:hAnsi="Times New Roman" w:cs="Times New Roman"/>
                <w:sz w:val="24"/>
                <w:szCs w:val="24"/>
              </w:rPr>
              <w:br/>
              <w:t>Глюкоза 27,5 ммоль/Л</w:t>
            </w:r>
            <w:r w:rsidRPr="00BD6C2F">
              <w:rPr>
                <w:rFonts w:ascii="Times New Roman" w:hAnsi="Times New Roman" w:cs="Times New Roman"/>
                <w:sz w:val="24"/>
                <w:szCs w:val="24"/>
              </w:rPr>
              <w:br/>
              <w:t>N-ацетилцистеин (NAC) 27,5 ммоль/Л</w:t>
            </w:r>
            <w:r w:rsidRPr="00BD6C2F">
              <w:rPr>
                <w:rFonts w:ascii="Times New Roman" w:hAnsi="Times New Roman" w:cs="Times New Roman"/>
                <w:sz w:val="24"/>
                <w:szCs w:val="24"/>
              </w:rPr>
              <w:br/>
              <w:t>Магния ацетат 13,8 ммоль/Л</w:t>
            </w:r>
            <w:r w:rsidRPr="00BD6C2F">
              <w:rPr>
                <w:rFonts w:ascii="Times New Roman" w:hAnsi="Times New Roman" w:cs="Times New Roman"/>
                <w:sz w:val="24"/>
                <w:szCs w:val="24"/>
              </w:rPr>
              <w:br/>
              <w:t>ЭДТА-Na2 2,1 ммоль/Л</w:t>
            </w:r>
            <w:r w:rsidRPr="00BD6C2F">
              <w:rPr>
                <w:rFonts w:ascii="Times New Roman" w:hAnsi="Times New Roman" w:cs="Times New Roman"/>
                <w:sz w:val="24"/>
                <w:szCs w:val="24"/>
              </w:rPr>
              <w:br/>
              <w:t>НАДФ 2,75 ммоль/Л</w:t>
            </w:r>
            <w:r w:rsidRPr="00BD6C2F">
              <w:rPr>
                <w:rFonts w:ascii="Times New Roman" w:hAnsi="Times New Roman" w:cs="Times New Roman"/>
                <w:sz w:val="24"/>
                <w:szCs w:val="24"/>
              </w:rPr>
              <w:br/>
              <w:t>Гексокиназа (ГК) ≥ 3 кЕ/Л</w:t>
            </w:r>
            <w:r w:rsidRPr="00BD6C2F">
              <w:rPr>
                <w:rFonts w:ascii="Times New Roman" w:hAnsi="Times New Roman" w:cs="Times New Roman"/>
                <w:sz w:val="24"/>
                <w:szCs w:val="24"/>
              </w:rPr>
              <w:br/>
              <w:t>Азид натрия &lt; 1 г/Л Реагент 2:</w:t>
            </w:r>
            <w:r w:rsidRPr="00BD6C2F">
              <w:rPr>
                <w:rFonts w:ascii="Times New Roman" w:hAnsi="Times New Roman" w:cs="Times New Roman"/>
                <w:sz w:val="24"/>
                <w:szCs w:val="24"/>
              </w:rPr>
              <w:br/>
              <w:t>Имидазол 160 ммоль/Л</w:t>
            </w:r>
            <w:r w:rsidRPr="00BD6C2F">
              <w:rPr>
                <w:rFonts w:ascii="Times New Roman" w:hAnsi="Times New Roman" w:cs="Times New Roman"/>
                <w:sz w:val="24"/>
                <w:szCs w:val="24"/>
              </w:rPr>
              <w:br/>
              <w:t>Креатинфосфат 170 ммоль/Л</w:t>
            </w:r>
            <w:r w:rsidRPr="00BD6C2F">
              <w:rPr>
                <w:rFonts w:ascii="Times New Roman" w:hAnsi="Times New Roman" w:cs="Times New Roman"/>
                <w:sz w:val="24"/>
                <w:szCs w:val="24"/>
              </w:rPr>
              <w:br/>
              <w:t>ЭДТА-Na2 2,1 ммоль/Л</w:t>
            </w:r>
            <w:r w:rsidRPr="00BD6C2F">
              <w:rPr>
                <w:rFonts w:ascii="Times New Roman" w:hAnsi="Times New Roman" w:cs="Times New Roman"/>
                <w:sz w:val="24"/>
                <w:szCs w:val="24"/>
              </w:rPr>
              <w:br/>
              <w:t>АДФ 11 ммоль/Л</w:t>
            </w:r>
            <w:r w:rsidRPr="00BD6C2F">
              <w:rPr>
                <w:rFonts w:ascii="Times New Roman" w:hAnsi="Times New Roman" w:cs="Times New Roman"/>
                <w:sz w:val="24"/>
                <w:szCs w:val="24"/>
              </w:rPr>
              <w:br/>
              <w:t>АМФ 28 ммоль/Л</w:t>
            </w:r>
            <w:r w:rsidRPr="00BD6C2F">
              <w:rPr>
                <w:rFonts w:ascii="Times New Roman" w:hAnsi="Times New Roman" w:cs="Times New Roman"/>
                <w:sz w:val="24"/>
                <w:szCs w:val="24"/>
              </w:rPr>
              <w:br/>
              <w:t>Диаденозина пентафосфат 56 мкмоль/Л</w:t>
            </w:r>
            <w:r w:rsidRPr="00BD6C2F">
              <w:rPr>
                <w:rFonts w:ascii="Times New Roman" w:hAnsi="Times New Roman" w:cs="Times New Roman"/>
                <w:sz w:val="24"/>
                <w:szCs w:val="24"/>
              </w:rPr>
              <w:br/>
              <w:t>Глюкозо-6-фосфат-дегидрогеназа (Г6Ф-ДГ) ≥ 7,5 кЕ/Л</w:t>
            </w:r>
            <w:r w:rsidRPr="00BD6C2F">
              <w:rPr>
                <w:rFonts w:ascii="Times New Roman" w:hAnsi="Times New Roman" w:cs="Times New Roman"/>
                <w:sz w:val="24"/>
                <w:szCs w:val="24"/>
              </w:rPr>
              <w:br/>
              <w:t>Азид натрия &lt; 1 г/Л Стабильность (8):</w:t>
            </w:r>
            <w:r w:rsidRPr="00BD6C2F">
              <w:rPr>
                <w:rFonts w:ascii="Times New Roman" w:hAnsi="Times New Roman" w:cs="Times New Roman"/>
                <w:sz w:val="24"/>
                <w:szCs w:val="24"/>
              </w:rPr>
              <w:br/>
              <w:t>■ При температуре 15–25°C: 1 день</w:t>
            </w:r>
            <w:r w:rsidRPr="00BD6C2F">
              <w:rPr>
                <w:rFonts w:ascii="Times New Roman" w:hAnsi="Times New Roman" w:cs="Times New Roman"/>
                <w:sz w:val="24"/>
                <w:szCs w:val="24"/>
              </w:rPr>
              <w:br/>
              <w:t>■ При температуре 2–8°C: 1 неделя</w:t>
            </w:r>
            <w:r w:rsidRPr="00BD6C2F">
              <w:rPr>
                <w:rFonts w:ascii="Times New Roman" w:hAnsi="Times New Roman" w:cs="Times New Roman"/>
                <w:sz w:val="24"/>
                <w:szCs w:val="24"/>
              </w:rPr>
              <w:br/>
              <w:t>■ При температуре –20°C (в темном месте): 4 недели   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12</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38 500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462 000</w:t>
            </w:r>
          </w:p>
        </w:tc>
      </w:tr>
      <w:tr w:rsidR="000C0B67" w:rsidRPr="003878FD" w:rsidTr="00B110AB">
        <w:trPr>
          <w:trHeight w:val="4952"/>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en-US"/>
              </w:rPr>
            </w:pPr>
            <w:r w:rsidRPr="00BD6C2F">
              <w:rPr>
                <w:rFonts w:ascii="Times New Roman" w:hAnsi="Times New Roman" w:cs="Times New Roman"/>
                <w:color w:val="000000"/>
                <w:sz w:val="24"/>
                <w:szCs w:val="24"/>
                <w:lang w:val="en-US"/>
              </w:rPr>
              <w:lastRenderedPageBreak/>
              <w:t>18</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 xml:space="preserve">Реагент для определения лактатдегидрогеназы </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"Реагент предназначен для диагностического количественного определения in vitro Значения уровня лактатдегидрогеназы используются для диагностики и лечения заболеваний печени, таких как острый вирусный гепатит, цирроз и метастатическая карцинома печени, заболеваний сердца, таких как инфаркт миокарда, а также опухолей легких и почек.</w:t>
            </w:r>
            <w:r w:rsidRPr="00BD6C2F">
              <w:rPr>
                <w:rFonts w:ascii="Times New Roman" w:hAnsi="Times New Roman" w:cs="Times New Roman"/>
                <w:sz w:val="24"/>
                <w:szCs w:val="24"/>
              </w:rPr>
              <w:br/>
              <w:t>Реагенты</w:t>
            </w:r>
            <w:r w:rsidRPr="00BD6C2F">
              <w:rPr>
                <w:rFonts w:ascii="Times New Roman" w:hAnsi="Times New Roman" w:cs="Times New Roman"/>
                <w:sz w:val="24"/>
                <w:szCs w:val="24"/>
              </w:rPr>
              <w:br/>
              <w:t>Реагент 1:</w:t>
            </w:r>
            <w:r w:rsidRPr="00BD6C2F">
              <w:rPr>
                <w:rFonts w:ascii="Times New Roman" w:hAnsi="Times New Roman" w:cs="Times New Roman"/>
                <w:sz w:val="24"/>
                <w:szCs w:val="24"/>
              </w:rPr>
              <w:br/>
              <w:t>Фосфатный буфер, pH 7,5 64 ммоль/Л</w:t>
            </w:r>
            <w:r w:rsidRPr="00BD6C2F">
              <w:rPr>
                <w:rFonts w:ascii="Times New Roman" w:hAnsi="Times New Roman" w:cs="Times New Roman"/>
                <w:sz w:val="24"/>
                <w:szCs w:val="24"/>
              </w:rPr>
              <w:br/>
              <w:t>Пируват 0,81 ммоль/Л</w:t>
            </w:r>
            <w:r w:rsidRPr="00BD6C2F">
              <w:rPr>
                <w:rFonts w:ascii="Times New Roman" w:hAnsi="Times New Roman" w:cs="Times New Roman"/>
                <w:sz w:val="24"/>
                <w:szCs w:val="24"/>
              </w:rPr>
              <w:br/>
              <w:t>Азид натрия &lt; 1 г/Л</w:t>
            </w:r>
            <w:r w:rsidRPr="00BD6C2F">
              <w:rPr>
                <w:rFonts w:ascii="Times New Roman" w:hAnsi="Times New Roman" w:cs="Times New Roman"/>
                <w:sz w:val="24"/>
                <w:szCs w:val="24"/>
              </w:rPr>
              <w:br/>
              <w:t>Реагент 2:</w:t>
            </w:r>
            <w:r w:rsidRPr="00BD6C2F">
              <w:rPr>
                <w:rFonts w:ascii="Times New Roman" w:hAnsi="Times New Roman" w:cs="Times New Roman"/>
                <w:sz w:val="24"/>
                <w:szCs w:val="24"/>
              </w:rPr>
              <w:br/>
              <w:t>Буфер Гудса, pH 9,6</w:t>
            </w:r>
            <w:r w:rsidRPr="00BD6C2F">
              <w:rPr>
                <w:rFonts w:ascii="Times New Roman" w:hAnsi="Times New Roman" w:cs="Times New Roman"/>
                <w:sz w:val="24"/>
                <w:szCs w:val="24"/>
              </w:rPr>
              <w:br/>
              <w:t>НАДH 1,05 ммоль/Л</w:t>
            </w:r>
            <w:r w:rsidRPr="00BD6C2F">
              <w:rPr>
                <w:rFonts w:ascii="Times New Roman" w:hAnsi="Times New Roman" w:cs="Times New Roman"/>
                <w:sz w:val="24"/>
                <w:szCs w:val="24"/>
              </w:rPr>
              <w:br/>
              <w:t>Азид натрия &lt; 1 г/Л</w:t>
            </w:r>
            <w:r w:rsidRPr="00BD6C2F">
              <w:rPr>
                <w:rFonts w:ascii="Times New Roman" w:hAnsi="Times New Roman" w:cs="Times New Roman"/>
                <w:sz w:val="24"/>
                <w:szCs w:val="24"/>
              </w:rPr>
              <w:br/>
              <w:t>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12</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44 000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528 000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en-US"/>
              </w:rPr>
            </w:pPr>
            <w:r w:rsidRPr="00BD6C2F">
              <w:rPr>
                <w:rFonts w:ascii="Times New Roman" w:hAnsi="Times New Roman" w:cs="Times New Roman"/>
                <w:color w:val="000000"/>
                <w:sz w:val="24"/>
                <w:szCs w:val="24"/>
                <w:lang w:val="en-US"/>
              </w:rPr>
              <w:t>19</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 xml:space="preserve">Реагент для определения кальция </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"Реагент с соответствующими калибратором и контролем представляет собой реагент для диагностического количественного определения in vitro кальция в сыворотке крови, плазме крови и моче человека колориметрическим методом с использованием биохимического анализатора Pentra C400. Определение уровня кальция используют в диагностике и лечении заболеваний паращитовидной железы, различных заболеваний костей, хронической болезни почек и тетании (периодические мышечные сокращения или спазмы). Реагенты</w:t>
            </w:r>
            <w:r w:rsidRPr="00BD6C2F">
              <w:rPr>
                <w:rFonts w:ascii="Times New Roman" w:hAnsi="Times New Roman" w:cs="Times New Roman"/>
                <w:sz w:val="24"/>
                <w:szCs w:val="24"/>
              </w:rPr>
              <w:br/>
              <w:t>ABX Pentra Calcium AS CP готов к использованию.</w:t>
            </w:r>
            <w:r w:rsidRPr="00BD6C2F">
              <w:rPr>
                <w:rFonts w:ascii="Times New Roman" w:hAnsi="Times New Roman" w:cs="Times New Roman"/>
                <w:sz w:val="24"/>
                <w:szCs w:val="24"/>
              </w:rPr>
              <w:br/>
              <w:t>Реагент</w:t>
            </w:r>
            <w:r w:rsidRPr="00BD6C2F">
              <w:rPr>
                <w:rFonts w:ascii="Times New Roman" w:hAnsi="Times New Roman" w:cs="Times New Roman"/>
                <w:sz w:val="24"/>
                <w:szCs w:val="24"/>
              </w:rPr>
              <w:br/>
              <w:t>MES, pH 6,50 100 ммоль/Л</w:t>
            </w:r>
            <w:r w:rsidRPr="00BD6C2F">
              <w:rPr>
                <w:rFonts w:ascii="Times New Roman" w:hAnsi="Times New Roman" w:cs="Times New Roman"/>
                <w:sz w:val="24"/>
                <w:szCs w:val="24"/>
              </w:rPr>
              <w:br/>
              <w:t>Арсеназо III 200 мкмоль/Л</w:t>
            </w:r>
            <w:r w:rsidRPr="00BD6C2F">
              <w:rPr>
                <w:rFonts w:ascii="Times New Roman" w:hAnsi="Times New Roman" w:cs="Times New Roman"/>
                <w:sz w:val="24"/>
                <w:szCs w:val="24"/>
              </w:rPr>
              <w:br/>
            </w:r>
            <w:r w:rsidRPr="00BD6C2F">
              <w:rPr>
                <w:rFonts w:ascii="Times New Roman" w:hAnsi="Times New Roman" w:cs="Times New Roman"/>
                <w:sz w:val="24"/>
                <w:szCs w:val="24"/>
              </w:rPr>
              <w:lastRenderedPageBreak/>
              <w:t>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lastRenderedPageBreak/>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en-US"/>
              </w:rPr>
            </w:pPr>
            <w:r w:rsidRPr="00BD6C2F">
              <w:rPr>
                <w:rFonts w:ascii="Times New Roman" w:hAnsi="Times New Roman" w:cs="Times New Roman"/>
                <w:sz w:val="24"/>
                <w:szCs w:val="24"/>
                <w:lang w:val="kk-KZ"/>
              </w:rPr>
              <w:t>22</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22 000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lang w:val="kk-KZ"/>
              </w:rPr>
              <w:t>484</w:t>
            </w:r>
            <w:r w:rsidRPr="00BD6C2F">
              <w:rPr>
                <w:rFonts w:ascii="Times New Roman" w:hAnsi="Times New Roman" w:cs="Times New Roman"/>
                <w:sz w:val="24"/>
                <w:szCs w:val="24"/>
              </w:rPr>
              <w:t xml:space="preserve">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en-US"/>
              </w:rPr>
            </w:pPr>
            <w:r w:rsidRPr="00BD6C2F">
              <w:rPr>
                <w:rFonts w:ascii="Times New Roman" w:hAnsi="Times New Roman" w:cs="Times New Roman"/>
                <w:color w:val="000000"/>
                <w:sz w:val="24"/>
                <w:szCs w:val="24"/>
                <w:lang w:val="en-US"/>
              </w:rPr>
              <w:lastRenderedPageBreak/>
              <w:t>20</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 xml:space="preserve">Реагент для определения железа </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 xml:space="preserve">"Реагент предназначен для диагностического количественного определения in vitro железа (негемического) в сыворотке и плазме крови человека методом фотометрии (метод с использованием ферена). Уровень железа (негемического) определяют для диагностики и лечения ряда заболеваний, таких как железодефицитная анемия и гемохроматоз.  </w:t>
            </w:r>
            <w:r w:rsidRPr="00BD6C2F">
              <w:rPr>
                <w:rFonts w:ascii="Times New Roman" w:hAnsi="Times New Roman" w:cs="Times New Roman"/>
                <w:sz w:val="24"/>
                <w:szCs w:val="24"/>
              </w:rPr>
              <w:br/>
              <w:t>Реагент 1:</w:t>
            </w:r>
            <w:r w:rsidRPr="00BD6C2F">
              <w:rPr>
                <w:rFonts w:ascii="Times New Roman" w:hAnsi="Times New Roman" w:cs="Times New Roman"/>
                <w:sz w:val="24"/>
                <w:szCs w:val="24"/>
              </w:rPr>
              <w:br/>
              <w:t>Ацетатный буфер, pH 4,5 1 ммоль/Л</w:t>
            </w:r>
            <w:r w:rsidRPr="00BD6C2F">
              <w:rPr>
                <w:rFonts w:ascii="Times New Roman" w:hAnsi="Times New Roman" w:cs="Times New Roman"/>
                <w:sz w:val="24"/>
                <w:szCs w:val="24"/>
              </w:rPr>
              <w:br/>
              <w:t>Тиомочевина 120 ммоль/Л</w:t>
            </w:r>
            <w:r w:rsidRPr="00BD6C2F">
              <w:rPr>
                <w:rFonts w:ascii="Times New Roman" w:hAnsi="Times New Roman" w:cs="Times New Roman"/>
                <w:sz w:val="24"/>
                <w:szCs w:val="24"/>
              </w:rPr>
              <w:br/>
              <w:t>Реагент 2:</w:t>
            </w:r>
            <w:r w:rsidRPr="00BD6C2F">
              <w:rPr>
                <w:rFonts w:ascii="Times New Roman" w:hAnsi="Times New Roman" w:cs="Times New Roman"/>
                <w:sz w:val="24"/>
                <w:szCs w:val="24"/>
              </w:rPr>
              <w:br/>
              <w:t>Аскорбиновая кислота, pH 2,5 240 ммоль/Л</w:t>
            </w:r>
            <w:r w:rsidRPr="00BD6C2F">
              <w:rPr>
                <w:rFonts w:ascii="Times New Roman" w:hAnsi="Times New Roman" w:cs="Times New Roman"/>
                <w:sz w:val="24"/>
                <w:szCs w:val="24"/>
              </w:rPr>
              <w:br/>
              <w:t>Ферен 3 ммоль/Л</w:t>
            </w:r>
            <w:r w:rsidRPr="00BD6C2F">
              <w:rPr>
                <w:rFonts w:ascii="Times New Roman" w:hAnsi="Times New Roman" w:cs="Times New Roman"/>
                <w:sz w:val="24"/>
                <w:szCs w:val="24"/>
              </w:rPr>
              <w:br/>
              <w:t>Тиомочевина 120 ммоль/Л</w:t>
            </w:r>
            <w:r w:rsidRPr="00BD6C2F">
              <w:rPr>
                <w:rFonts w:ascii="Times New Roman" w:hAnsi="Times New Roman" w:cs="Times New Roman"/>
                <w:sz w:val="24"/>
                <w:szCs w:val="24"/>
              </w:rPr>
              <w:br/>
              <w:t>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15</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27 500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412 500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en-US"/>
              </w:rPr>
            </w:pPr>
            <w:r w:rsidRPr="00BD6C2F">
              <w:rPr>
                <w:rFonts w:ascii="Times New Roman" w:hAnsi="Times New Roman" w:cs="Times New Roman"/>
                <w:color w:val="000000"/>
                <w:sz w:val="24"/>
                <w:szCs w:val="24"/>
                <w:lang w:val="en-US"/>
              </w:rPr>
              <w:t>21</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 xml:space="preserve">Реагент для определения альбумина </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"Реагент предназначен для диагностического количественного определения in vitro альбумина в сыворотке и плазме крови колориметрическим методом. Уровень альбумина определяют для диагностики и лечения ряда заболеваний, главным образом заболеваний печени и почек.</w:t>
            </w:r>
            <w:r w:rsidRPr="00BD6C2F">
              <w:rPr>
                <w:rFonts w:ascii="Times New Roman" w:hAnsi="Times New Roman" w:cs="Times New Roman"/>
                <w:sz w:val="24"/>
                <w:szCs w:val="24"/>
              </w:rPr>
              <w:br/>
              <w:t xml:space="preserve"> Реагент</w:t>
            </w:r>
            <w:r w:rsidRPr="00BD6C2F">
              <w:rPr>
                <w:rFonts w:ascii="Times New Roman" w:hAnsi="Times New Roman" w:cs="Times New Roman"/>
                <w:sz w:val="24"/>
                <w:szCs w:val="24"/>
              </w:rPr>
              <w:br/>
              <w:t>Сукцинатный буфер 87 ммоль/Л</w:t>
            </w:r>
            <w:r w:rsidRPr="00BD6C2F">
              <w:rPr>
                <w:rFonts w:ascii="Times New Roman" w:hAnsi="Times New Roman" w:cs="Times New Roman"/>
                <w:sz w:val="24"/>
                <w:szCs w:val="24"/>
              </w:rPr>
              <w:br/>
              <w:t>Бромкрезоловый зеленый 0,2 ммоль/Л</w:t>
            </w:r>
            <w:r w:rsidRPr="00BD6C2F">
              <w:rPr>
                <w:rFonts w:ascii="Times New Roman" w:hAnsi="Times New Roman" w:cs="Times New Roman"/>
                <w:sz w:val="24"/>
                <w:szCs w:val="24"/>
              </w:rPr>
              <w:br/>
              <w:t xml:space="preserve">Brij 35 7,35 мЛ/Л </w:t>
            </w:r>
            <w:r w:rsidRPr="00BD6C2F">
              <w:rPr>
                <w:rFonts w:ascii="Times New Roman" w:hAnsi="Times New Roman" w:cs="Times New Roman"/>
                <w:sz w:val="24"/>
                <w:szCs w:val="24"/>
              </w:rPr>
              <w:br/>
              <w:t>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12</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15 500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186 000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en-US"/>
              </w:rPr>
            </w:pPr>
            <w:r w:rsidRPr="00BD6C2F">
              <w:rPr>
                <w:rFonts w:ascii="Times New Roman" w:hAnsi="Times New Roman" w:cs="Times New Roman"/>
                <w:color w:val="000000"/>
                <w:sz w:val="24"/>
                <w:szCs w:val="24"/>
                <w:lang w:val="en-US"/>
              </w:rPr>
              <w:t>22</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Мультикалибратор 10х3мл</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"Характеристики</w:t>
            </w:r>
            <w:r w:rsidRPr="00BD6C2F">
              <w:rPr>
                <w:rFonts w:ascii="Times New Roman" w:hAnsi="Times New Roman" w:cs="Times New Roman"/>
                <w:sz w:val="24"/>
                <w:szCs w:val="24"/>
              </w:rPr>
              <w:br/>
              <w:t xml:space="preserve">■ Представляет собой лиофилизированный калибратор на основе сыворотки крови человека. ■ Набор состоит из </w:t>
            </w:r>
            <w:r w:rsidRPr="00BD6C2F">
              <w:rPr>
                <w:rFonts w:ascii="Times New Roman" w:hAnsi="Times New Roman" w:cs="Times New Roman"/>
                <w:sz w:val="24"/>
                <w:szCs w:val="24"/>
              </w:rPr>
              <w:lastRenderedPageBreak/>
              <w:t>10 флаконов калибратора (лиофилизат, 3 мл). 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lastRenderedPageBreak/>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9</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218 900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1 970 100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en-US"/>
              </w:rPr>
            </w:pPr>
            <w:r w:rsidRPr="00BD6C2F">
              <w:rPr>
                <w:rFonts w:ascii="Times New Roman" w:hAnsi="Times New Roman" w:cs="Times New Roman"/>
                <w:color w:val="000000"/>
                <w:sz w:val="24"/>
                <w:szCs w:val="24"/>
                <w:lang w:val="en-US"/>
              </w:rPr>
              <w:lastRenderedPageBreak/>
              <w:t>23</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Калибратор С-реактивного белка 5х1мл</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"Характеристики</w:t>
            </w:r>
            <w:r w:rsidRPr="00BD6C2F">
              <w:rPr>
                <w:rFonts w:ascii="Times New Roman" w:hAnsi="Times New Roman" w:cs="Times New Roman"/>
                <w:sz w:val="24"/>
                <w:szCs w:val="24"/>
              </w:rPr>
              <w:br/>
              <w:t>■ Представляет собой жидкий контроль, приготовленный путем разведения раствора C</w:t>
            </w:r>
            <w:r w:rsidRPr="00BD6C2F">
              <w:rPr>
                <w:rFonts w:ascii="Times New Roman" w:hAnsi="Times New Roman" w:cs="Times New Roman"/>
                <w:sz w:val="24"/>
                <w:szCs w:val="24"/>
              </w:rPr>
              <w:noBreakHyphen/>
              <w:t>реактивного белка (CРБ) нормальной сывороткой крови человека в разных концентрациях. ■ Набор состоит из 5 флаконов по 1 мЛ. Каждый флакон имеет разную концентрацию (указано на каждом флаконе): 2,5, 10, 40, 80 и 160 мг/Л. В связи с тем, что цвет колпачков отличается в зависимости от концентрации CРБ во флаконе, следует соблюдать осторожность во</w:t>
            </w:r>
            <w:r w:rsidRPr="00BD6C2F">
              <w:rPr>
                <w:rFonts w:ascii="Times New Roman" w:hAnsi="Times New Roman" w:cs="Times New Roman"/>
                <w:sz w:val="24"/>
                <w:szCs w:val="24"/>
              </w:rPr>
              <w:br/>
              <w:t>избежание перепутывания колпачков.</w:t>
            </w:r>
            <w:r w:rsidRPr="00BD6C2F">
              <w:rPr>
                <w:rFonts w:ascii="Times New Roman" w:hAnsi="Times New Roman" w:cs="Times New Roman"/>
                <w:sz w:val="24"/>
                <w:szCs w:val="24"/>
              </w:rPr>
              <w:br/>
              <w:t>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9</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225 500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2 029 500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en-US"/>
              </w:rPr>
            </w:pPr>
            <w:r w:rsidRPr="00BD6C2F">
              <w:rPr>
                <w:rFonts w:ascii="Times New Roman" w:hAnsi="Times New Roman" w:cs="Times New Roman"/>
                <w:color w:val="000000"/>
                <w:sz w:val="24"/>
                <w:szCs w:val="24"/>
                <w:lang w:val="en-US"/>
              </w:rPr>
              <w:t>24</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Калибратор ревматоидного фактора 5х1мл</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 xml:space="preserve">"Характеристики </w:t>
            </w:r>
            <w:r w:rsidRPr="00BD6C2F">
              <w:rPr>
                <w:rFonts w:ascii="Times New Roman" w:hAnsi="Times New Roman" w:cs="Times New Roman"/>
                <w:sz w:val="24"/>
                <w:szCs w:val="24"/>
              </w:rPr>
              <w:br/>
              <w:t>■ Представляет собой жидкий калибратор, приготовленный путем разведения сыворотки крови человека, положительной на РФ, буферным раствором, содержащим 1% (w/v) бычьего сывороточного альбумина в разных концентрациях. Концентрация указана на каждом флаконе. ■ Набор состоит из 5 флаконов по 1 мЛ. Каждый флакон имеет разную концентрацию (указано на каждом флаконе): 10, 20, 40, 80 и 120 МЕ/мЛ. В связи с тем, что цвет колпачков отличается в зависимости от концентрации РФ во флаконе, следует соблюдать осторожность во избежание перепутывания колпачков.</w:t>
            </w:r>
            <w:r w:rsidRPr="00BD6C2F">
              <w:rPr>
                <w:rFonts w:ascii="Times New Roman" w:hAnsi="Times New Roman" w:cs="Times New Roman"/>
                <w:sz w:val="24"/>
                <w:szCs w:val="24"/>
              </w:rPr>
              <w:br/>
              <w:t>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5</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120 000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600 000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en-US"/>
              </w:rPr>
            </w:pPr>
            <w:r w:rsidRPr="00BD6C2F">
              <w:rPr>
                <w:rFonts w:ascii="Times New Roman" w:hAnsi="Times New Roman" w:cs="Times New Roman"/>
                <w:color w:val="000000"/>
                <w:sz w:val="24"/>
                <w:szCs w:val="24"/>
                <w:lang w:val="en-US"/>
              </w:rPr>
              <w:lastRenderedPageBreak/>
              <w:t>25</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Калибратор анти-стрептолизина О 4х1мл</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Калибратор для определения антистрептолизина O (ASO) методом иммунотурбидиметрического анализа с латексным усилением. Представляет собой жидкий контроль, приготовленный путем разведения раствора C</w:t>
            </w:r>
            <w:r w:rsidRPr="00BD6C2F">
              <w:rPr>
                <w:rFonts w:ascii="Times New Roman" w:hAnsi="Times New Roman" w:cs="Times New Roman"/>
                <w:sz w:val="24"/>
                <w:szCs w:val="24"/>
              </w:rPr>
              <w:noBreakHyphen/>
              <w:t>реактивного белка (CРБ) нормальной сывороткой крови человека в разных концентрациях. 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9</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159 500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1 435 500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en-US"/>
              </w:rPr>
            </w:pPr>
            <w:r w:rsidRPr="00BD6C2F">
              <w:rPr>
                <w:rFonts w:ascii="Times New Roman" w:hAnsi="Times New Roman" w:cs="Times New Roman"/>
                <w:color w:val="000000"/>
                <w:sz w:val="24"/>
                <w:szCs w:val="24"/>
                <w:lang w:val="en-US"/>
              </w:rPr>
              <w:t>26</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Мультиконтроль Норма</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"Характеристики</w:t>
            </w:r>
            <w:r w:rsidRPr="00BD6C2F">
              <w:rPr>
                <w:rFonts w:ascii="Times New Roman" w:hAnsi="Times New Roman" w:cs="Times New Roman"/>
                <w:sz w:val="24"/>
                <w:szCs w:val="24"/>
              </w:rPr>
              <w:br/>
              <w:t>■ Представляет собой лиофилизированный контрольный на основе сыворотки крови человека. Скорректированные концентрации, а деятельность компонентов управления обычно находится в пределах нормы или в пределах нормы/патологического порог. ■ Набор состоит из 10 ампул 5 мл (после восстановления). 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6</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121 000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726 000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en-US"/>
              </w:rPr>
            </w:pPr>
            <w:r w:rsidRPr="00BD6C2F">
              <w:rPr>
                <w:rFonts w:ascii="Times New Roman" w:hAnsi="Times New Roman" w:cs="Times New Roman"/>
                <w:color w:val="000000"/>
                <w:sz w:val="24"/>
                <w:szCs w:val="24"/>
                <w:lang w:val="en-US"/>
              </w:rPr>
              <w:t>27</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Контрольная сыворотка для иммуноглобулинов 1 1х3 мл+1х3 мл</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"Характеристики</w:t>
            </w:r>
            <w:r w:rsidRPr="00BD6C2F">
              <w:rPr>
                <w:rFonts w:ascii="Times New Roman" w:hAnsi="Times New Roman" w:cs="Times New Roman"/>
                <w:sz w:val="24"/>
                <w:szCs w:val="24"/>
              </w:rPr>
              <w:br/>
              <w:t>■ Представляет собой лиофилизированный контроль, полученный из объединенных образцов сыворотки крови человека. ■ Набор состоит из 2 флаконов: - 1 флакон с контролем низкой концентрации (лиофилизат для 3 мЛ); - 1 флакон с контролем высокой концентрации (лиофилизат для 3 мЛ). Для автоматического биохимического анализатора Pentra C400</w:t>
            </w:r>
            <w:r w:rsidRPr="00BD6C2F">
              <w:rPr>
                <w:rFonts w:ascii="Times New Roman" w:hAnsi="Times New Roman" w:cs="Times New Roman"/>
                <w:sz w:val="24"/>
                <w:szCs w:val="24"/>
              </w:rPr>
              <w:br/>
              <w:t>"</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20</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234 300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4 686 000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en-US"/>
              </w:rPr>
            </w:pPr>
            <w:r w:rsidRPr="00BD6C2F">
              <w:rPr>
                <w:rFonts w:ascii="Times New Roman" w:hAnsi="Times New Roman" w:cs="Times New Roman"/>
                <w:color w:val="000000"/>
                <w:sz w:val="24"/>
                <w:szCs w:val="24"/>
                <w:lang w:val="en-US"/>
              </w:rPr>
              <w:t>28</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 xml:space="preserve">Депротеинизирующий реагент </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"Очищающий раствор</w:t>
            </w:r>
            <w:r w:rsidRPr="00BD6C2F">
              <w:rPr>
                <w:rFonts w:ascii="Times New Roman" w:hAnsi="Times New Roman" w:cs="Times New Roman"/>
                <w:sz w:val="24"/>
                <w:szCs w:val="24"/>
              </w:rPr>
              <w:br/>
              <w:t>Реагенты</w:t>
            </w:r>
            <w:r w:rsidRPr="00BD6C2F">
              <w:rPr>
                <w:rFonts w:ascii="Times New Roman" w:hAnsi="Times New Roman" w:cs="Times New Roman"/>
                <w:sz w:val="24"/>
                <w:szCs w:val="24"/>
              </w:rPr>
              <w:br/>
              <w:t>Данный реагент содержит гипохлорит натрия (29% об. /об. с содержанием активного хлора 15%), а также гидроксид натрия (&lt;0,5%). pH раствора составляет более 11.</w:t>
            </w:r>
            <w:r w:rsidRPr="00BD6C2F">
              <w:rPr>
                <w:rFonts w:ascii="Times New Roman" w:hAnsi="Times New Roman" w:cs="Times New Roman"/>
                <w:sz w:val="24"/>
                <w:szCs w:val="24"/>
              </w:rPr>
              <w:br/>
            </w:r>
            <w:r w:rsidRPr="00BD6C2F">
              <w:rPr>
                <w:rFonts w:ascii="Times New Roman" w:hAnsi="Times New Roman" w:cs="Times New Roman"/>
                <w:sz w:val="24"/>
                <w:szCs w:val="24"/>
              </w:rPr>
              <w:lastRenderedPageBreak/>
              <w:t>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lastRenderedPageBreak/>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4</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25 500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102 000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en-US"/>
              </w:rPr>
            </w:pPr>
            <w:r w:rsidRPr="00BD6C2F">
              <w:rPr>
                <w:rFonts w:ascii="Times New Roman" w:hAnsi="Times New Roman" w:cs="Times New Roman"/>
                <w:color w:val="000000"/>
                <w:sz w:val="24"/>
                <w:szCs w:val="24"/>
                <w:lang w:val="en-US"/>
              </w:rPr>
              <w:lastRenderedPageBreak/>
              <w:t>29</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 xml:space="preserve">Чистящий реагент </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"Очищающий раствор</w:t>
            </w:r>
            <w:r w:rsidRPr="00BD6C2F">
              <w:rPr>
                <w:rFonts w:ascii="Times New Roman" w:hAnsi="Times New Roman" w:cs="Times New Roman"/>
                <w:sz w:val="24"/>
                <w:szCs w:val="24"/>
              </w:rPr>
              <w:br/>
              <w:t>Реагенты</w:t>
            </w:r>
            <w:r w:rsidRPr="00BD6C2F">
              <w:rPr>
                <w:rFonts w:ascii="Times New Roman" w:hAnsi="Times New Roman" w:cs="Times New Roman"/>
                <w:sz w:val="24"/>
                <w:szCs w:val="24"/>
              </w:rPr>
              <w:br/>
              <w:t xml:space="preserve">Содержание </w:t>
            </w:r>
            <w:r w:rsidRPr="00BD6C2F">
              <w:rPr>
                <w:rFonts w:ascii="Times New Roman" w:hAnsi="Times New Roman" w:cs="Times New Roman"/>
                <w:sz w:val="24"/>
                <w:szCs w:val="24"/>
                <w:lang w:val="kk-KZ"/>
              </w:rPr>
              <w:t>н</w:t>
            </w:r>
            <w:r w:rsidRPr="00BD6C2F">
              <w:rPr>
                <w:rFonts w:ascii="Times New Roman" w:hAnsi="Times New Roman" w:cs="Times New Roman"/>
                <w:sz w:val="24"/>
                <w:szCs w:val="24"/>
              </w:rPr>
              <w:t>атрия гидроксид</w:t>
            </w:r>
            <w:r w:rsidRPr="00BD6C2F">
              <w:rPr>
                <w:rFonts w:ascii="Times New Roman" w:hAnsi="Times New Roman" w:cs="Times New Roman"/>
                <w:sz w:val="24"/>
                <w:szCs w:val="24"/>
                <w:lang w:val="kk-KZ"/>
              </w:rPr>
              <w:t>а</w:t>
            </w:r>
            <w:r w:rsidRPr="00BD6C2F">
              <w:rPr>
                <w:rFonts w:ascii="Times New Roman" w:hAnsi="Times New Roman" w:cs="Times New Roman"/>
                <w:sz w:val="24"/>
                <w:szCs w:val="24"/>
              </w:rPr>
              <w:t xml:space="preserve"> (&lt;2%). pH раствора составляет более 12.</w:t>
            </w:r>
            <w:r w:rsidRPr="00BD6C2F">
              <w:rPr>
                <w:rFonts w:ascii="Times New Roman" w:hAnsi="Times New Roman" w:cs="Times New Roman"/>
                <w:sz w:val="24"/>
                <w:szCs w:val="24"/>
              </w:rPr>
              <w:br/>
              <w:t>Для автоматического биохимического анализатора Pentra C400"</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флакон</w:t>
            </w:r>
          </w:p>
        </w:tc>
        <w:tc>
          <w:tcPr>
            <w:tcW w:w="992"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75</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15 000</w:t>
            </w:r>
          </w:p>
        </w:tc>
        <w:tc>
          <w:tcPr>
            <w:tcW w:w="1758" w:type="dxa"/>
            <w:shd w:val="clear" w:color="000000" w:fill="FFFFFF"/>
            <w:noWrap/>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sz w:val="24"/>
                <w:szCs w:val="24"/>
              </w:rPr>
              <w:t>1 125 000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lang w:val="en-US"/>
              </w:rPr>
            </w:pPr>
            <w:r w:rsidRPr="00BD6C2F">
              <w:rPr>
                <w:rFonts w:ascii="Times New Roman" w:hAnsi="Times New Roman" w:cs="Times New Roman"/>
                <w:color w:val="000000"/>
                <w:sz w:val="24"/>
                <w:szCs w:val="24"/>
                <w:lang w:val="en-US"/>
              </w:rPr>
              <w:t>30</w:t>
            </w:r>
          </w:p>
        </w:tc>
        <w:tc>
          <w:tcPr>
            <w:tcW w:w="2156" w:type="dxa"/>
            <w:shd w:val="clear" w:color="000000" w:fill="FFFFFF"/>
          </w:tcPr>
          <w:p w:rsidR="000C0B67" w:rsidRPr="00BD6C2F" w:rsidRDefault="000C0B67" w:rsidP="00B110AB">
            <w:pPr>
              <w:rPr>
                <w:rFonts w:ascii="Times New Roman" w:hAnsi="Times New Roman" w:cs="Times New Roman"/>
                <w:color w:val="000000"/>
                <w:sz w:val="24"/>
                <w:szCs w:val="24"/>
              </w:rPr>
            </w:pPr>
            <w:r w:rsidRPr="00BD6C2F">
              <w:rPr>
                <w:rFonts w:ascii="Times New Roman" w:hAnsi="Times New Roman" w:cs="Times New Roman"/>
                <w:sz w:val="24"/>
                <w:szCs w:val="24"/>
              </w:rPr>
              <w:t xml:space="preserve"> Калий витал</w:t>
            </w:r>
          </w:p>
        </w:tc>
        <w:tc>
          <w:tcPr>
            <w:tcW w:w="6095" w:type="dxa"/>
            <w:shd w:val="clear" w:color="000000" w:fill="FFFFFF"/>
          </w:tcPr>
          <w:p w:rsidR="000C0B67" w:rsidRPr="00BD6C2F" w:rsidRDefault="000C0B67" w:rsidP="00B110AB">
            <w:pPr>
              <w:spacing w:after="0"/>
              <w:rPr>
                <w:rFonts w:ascii="Times New Roman" w:hAnsi="Times New Roman" w:cs="Times New Roman"/>
                <w:color w:val="000000"/>
                <w:sz w:val="24"/>
                <w:szCs w:val="24"/>
              </w:rPr>
            </w:pPr>
            <w:r w:rsidRPr="00BD6C2F">
              <w:rPr>
                <w:rFonts w:ascii="Times New Roman" w:hAnsi="Times New Roman" w:cs="Times New Roman"/>
                <w:sz w:val="24"/>
                <w:szCs w:val="24"/>
              </w:rPr>
              <w:t>Анализируемые образцы</w:t>
            </w:r>
            <w:r w:rsidRPr="00BD6C2F">
              <w:rPr>
                <w:rFonts w:ascii="Times New Roman" w:hAnsi="Times New Roman" w:cs="Times New Roman"/>
                <w:sz w:val="24"/>
                <w:szCs w:val="24"/>
              </w:rPr>
              <w:br/>
              <w:t xml:space="preserve"> Свежая сыворотка (плазма) крови без признаков гемолиза и липемии.</w:t>
            </w:r>
            <w:r w:rsidRPr="00BD6C2F">
              <w:rPr>
                <w:rFonts w:ascii="Times New Roman" w:hAnsi="Times New Roman" w:cs="Times New Roman"/>
                <w:sz w:val="24"/>
                <w:szCs w:val="24"/>
              </w:rPr>
              <w:br/>
              <w:t>Меры предосторожности</w:t>
            </w:r>
            <w:r w:rsidRPr="00BD6C2F">
              <w:rPr>
                <w:rFonts w:ascii="Times New Roman" w:hAnsi="Times New Roman" w:cs="Times New Roman"/>
                <w:sz w:val="24"/>
                <w:szCs w:val="24"/>
              </w:rPr>
              <w:br/>
              <w:t xml:space="preserve"> Потенциальный риск применения набора – класс 2а.</w:t>
            </w:r>
            <w:r w:rsidRPr="00BD6C2F">
              <w:rPr>
                <w:rFonts w:ascii="Times New Roman" w:hAnsi="Times New Roman" w:cs="Times New Roman"/>
                <w:sz w:val="24"/>
                <w:szCs w:val="24"/>
              </w:rPr>
              <w:br/>
              <w:t xml:space="preserve"> Все компоненты набора в используемых концентрациях являются нетоксичными.</w:t>
            </w:r>
            <w:r w:rsidRPr="00BD6C2F">
              <w:rPr>
                <w:rFonts w:ascii="Times New Roman" w:hAnsi="Times New Roman" w:cs="Times New Roman"/>
                <w:sz w:val="24"/>
                <w:szCs w:val="24"/>
              </w:rPr>
              <w:br/>
              <w:t xml:space="preserve"> Реагент 1 содержит щелочь. При работе с набором следует не допускать попадания реагента 1 на кожу и слизистые; при попадании следует промыть пораженное место большим количеством проточной воды.</w:t>
            </w:r>
            <w:r w:rsidRPr="00BD6C2F">
              <w:rPr>
                <w:rFonts w:ascii="Times New Roman" w:hAnsi="Times New Roman" w:cs="Times New Roman"/>
                <w:sz w:val="24"/>
                <w:szCs w:val="24"/>
              </w:rPr>
              <w:br/>
              <w:t>Не допускается использование серии набора по истечении срока ее годности.</w:t>
            </w:r>
            <w:r w:rsidRPr="00BD6C2F">
              <w:rPr>
                <w:rFonts w:ascii="Times New Roman" w:hAnsi="Times New Roman" w:cs="Times New Roman"/>
                <w:sz w:val="24"/>
                <w:szCs w:val="24"/>
              </w:rPr>
              <w:br/>
              <w:t>Условия хранения и эксплуатации набора</w:t>
            </w:r>
            <w:r w:rsidRPr="00BD6C2F">
              <w:rPr>
                <w:rFonts w:ascii="Times New Roman" w:hAnsi="Times New Roman" w:cs="Times New Roman"/>
                <w:sz w:val="24"/>
                <w:szCs w:val="24"/>
              </w:rPr>
              <w:br/>
              <w:t xml:space="preserve"> Набор должен храниться и транспортироваться в темном месте при комнатной температуре (+18-25°С) в упаковке предприятия-изготовителя в течение всего срока годности. </w:t>
            </w:r>
            <w:r w:rsidRPr="00BD6C2F">
              <w:rPr>
                <w:rFonts w:ascii="Times New Roman" w:hAnsi="Times New Roman" w:cs="Times New Roman"/>
                <w:sz w:val="24"/>
                <w:szCs w:val="24"/>
              </w:rPr>
              <w:br/>
              <w:t xml:space="preserve"> Реагент 1 и калибратор после вскрытия флакона можно хранить в темном месте в плотно закрытой посуде при комнатной температуре не более 3 мес.</w:t>
            </w:r>
            <w:r w:rsidRPr="00BD6C2F">
              <w:rPr>
                <w:rFonts w:ascii="Times New Roman" w:hAnsi="Times New Roman" w:cs="Times New Roman"/>
                <w:sz w:val="24"/>
                <w:szCs w:val="24"/>
              </w:rPr>
              <w:br/>
              <w:t xml:space="preserve"> Для отбора и добавления анализируемых проб и компонентов набора рекомендуется использовать полуавтоматические одноканальные пипетки, аттестованные на точность по значению средней дозы и </w:t>
            </w:r>
            <w:r w:rsidRPr="00BD6C2F">
              <w:rPr>
                <w:rFonts w:ascii="Times New Roman" w:hAnsi="Times New Roman" w:cs="Times New Roman"/>
                <w:sz w:val="24"/>
                <w:szCs w:val="24"/>
              </w:rPr>
              <w:lastRenderedPageBreak/>
              <w:t>сходимости результатов пикетирования.</w:t>
            </w:r>
            <w:r w:rsidRPr="00BD6C2F">
              <w:rPr>
                <w:rFonts w:ascii="Times New Roman" w:hAnsi="Times New Roman" w:cs="Times New Roman"/>
                <w:sz w:val="24"/>
                <w:szCs w:val="24"/>
              </w:rPr>
              <w:br/>
              <w:t xml:space="preserve"> Для получения надежных результатов необходимо строгое соблюдение инструкции по применению набора.</w:t>
            </w:r>
          </w:p>
        </w:tc>
        <w:tc>
          <w:tcPr>
            <w:tcW w:w="1276" w:type="dxa"/>
            <w:shd w:val="clear" w:color="000000" w:fill="FFFFFF"/>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lastRenderedPageBreak/>
              <w:t>набор</w:t>
            </w:r>
          </w:p>
        </w:tc>
        <w:tc>
          <w:tcPr>
            <w:tcW w:w="992" w:type="dxa"/>
            <w:shd w:val="clear" w:color="000000" w:fill="FFFFFF"/>
            <w:noWrap/>
          </w:tcPr>
          <w:p w:rsidR="000C0B67" w:rsidRPr="0005425D"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6</w:t>
            </w:r>
            <w:r>
              <w:rPr>
                <w:rFonts w:ascii="Times New Roman" w:hAnsi="Times New Roman" w:cs="Times New Roman"/>
                <w:sz w:val="24"/>
                <w:szCs w:val="24"/>
                <w:lang w:val="kk-KZ"/>
              </w:rPr>
              <w:t>0</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rPr>
              <w:t>85 200</w:t>
            </w:r>
          </w:p>
        </w:tc>
        <w:tc>
          <w:tcPr>
            <w:tcW w:w="1758" w:type="dxa"/>
            <w:shd w:val="clear" w:color="000000" w:fill="FFFFFF"/>
            <w:noWrap/>
          </w:tcPr>
          <w:p w:rsidR="000C0B67" w:rsidRPr="0005425D" w:rsidRDefault="000C0B67" w:rsidP="00B110AB">
            <w:pPr>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5 112 000</w:t>
            </w:r>
          </w:p>
        </w:tc>
      </w:tr>
      <w:tr w:rsidR="000C0B67" w:rsidRPr="003878FD" w:rsidTr="00B110AB">
        <w:trPr>
          <w:trHeight w:val="510"/>
          <w:jc w:val="center"/>
        </w:trPr>
        <w:tc>
          <w:tcPr>
            <w:tcW w:w="14604" w:type="dxa"/>
            <w:gridSpan w:val="7"/>
            <w:shd w:val="clear" w:color="000000" w:fill="FFFFFF"/>
            <w:noWrap/>
            <w:vAlign w:val="center"/>
          </w:tcPr>
          <w:p w:rsidR="000C0B67" w:rsidRPr="00BD6C2F" w:rsidRDefault="000C0B67" w:rsidP="00B110AB">
            <w:pPr>
              <w:jc w:val="center"/>
              <w:rPr>
                <w:rFonts w:ascii="Times New Roman" w:hAnsi="Times New Roman" w:cs="Times New Roman"/>
                <w:sz w:val="24"/>
                <w:szCs w:val="24"/>
              </w:rPr>
            </w:pPr>
            <w:r w:rsidRPr="00BD6C2F">
              <w:rPr>
                <w:rFonts w:ascii="Times New Roman" w:hAnsi="Times New Roman" w:cs="Times New Roman"/>
                <w:sz w:val="24"/>
                <w:szCs w:val="24"/>
                <w:highlight w:val="green"/>
              </w:rPr>
              <w:lastRenderedPageBreak/>
              <w:t>Полуавтоматический коагулометр Yumizen G400</w:t>
            </w:r>
          </w:p>
        </w:tc>
      </w:tr>
      <w:tr w:rsidR="000C0B67" w:rsidRPr="003878FD" w:rsidTr="00B110AB">
        <w:trPr>
          <w:trHeight w:val="693"/>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color w:val="000000"/>
                <w:sz w:val="24"/>
                <w:szCs w:val="24"/>
              </w:rPr>
              <w:t>31</w:t>
            </w:r>
          </w:p>
        </w:tc>
        <w:tc>
          <w:tcPr>
            <w:tcW w:w="2156" w:type="dxa"/>
            <w:shd w:val="clear" w:color="000000" w:fill="FFFFFF"/>
          </w:tcPr>
          <w:p w:rsidR="000C0B67" w:rsidRPr="00BD6C2F" w:rsidRDefault="000C0B67" w:rsidP="00B110AB">
            <w:pPr>
              <w:rPr>
                <w:rFonts w:ascii="Times New Roman" w:hAnsi="Times New Roman"/>
                <w:sz w:val="24"/>
                <w:szCs w:val="24"/>
              </w:rPr>
            </w:pPr>
          </w:p>
          <w:p w:rsidR="000C0B67" w:rsidRPr="00BD6C2F" w:rsidRDefault="000C0B67" w:rsidP="00B110AB">
            <w:pPr>
              <w:rPr>
                <w:rFonts w:ascii="Times New Roman" w:hAnsi="Times New Roman"/>
                <w:sz w:val="24"/>
                <w:szCs w:val="24"/>
              </w:rPr>
            </w:pPr>
          </w:p>
          <w:p w:rsidR="000C0B67" w:rsidRPr="00BD6C2F" w:rsidRDefault="000C0B67" w:rsidP="00B110AB">
            <w:pPr>
              <w:rPr>
                <w:rFonts w:ascii="Times New Roman" w:hAnsi="Times New Roman"/>
                <w:sz w:val="24"/>
                <w:szCs w:val="24"/>
              </w:rPr>
            </w:pPr>
          </w:p>
          <w:p w:rsidR="000C0B67" w:rsidRPr="00BD6C2F" w:rsidRDefault="000C0B67" w:rsidP="00B110AB">
            <w:pPr>
              <w:rPr>
                <w:rFonts w:ascii="Times New Roman" w:hAnsi="Times New Roman" w:cs="Times New Roman"/>
                <w:sz w:val="24"/>
                <w:szCs w:val="24"/>
              </w:rPr>
            </w:pPr>
            <w:r w:rsidRPr="00BD6C2F">
              <w:rPr>
                <w:rFonts w:ascii="Times New Roman" w:hAnsi="Times New Roman"/>
                <w:sz w:val="24"/>
                <w:szCs w:val="24"/>
              </w:rPr>
              <w:t>Протромбин (10x10 мл)</w:t>
            </w:r>
          </w:p>
        </w:tc>
        <w:tc>
          <w:tcPr>
            <w:tcW w:w="6095" w:type="dxa"/>
            <w:shd w:val="clear" w:color="000000" w:fill="FFFFFF"/>
          </w:tcPr>
          <w:p w:rsidR="000C0B67" w:rsidRPr="00BD6C2F" w:rsidRDefault="000C0B67" w:rsidP="00B110AB">
            <w:pPr>
              <w:spacing w:after="0"/>
              <w:rPr>
                <w:rFonts w:ascii="Times New Roman" w:hAnsi="Times New Roman" w:cs="Times New Roman"/>
                <w:sz w:val="24"/>
                <w:szCs w:val="24"/>
              </w:rPr>
            </w:pPr>
            <w:r w:rsidRPr="00BD6C2F">
              <w:rPr>
                <w:rFonts w:ascii="Times New Roman" w:hAnsi="Times New Roman"/>
                <w:sz w:val="24"/>
                <w:szCs w:val="24"/>
              </w:rPr>
              <w:t>Протромбин тест представляет собой рекомбинантный тромбопластин человека, который содержит рекомбинантный тканевый фактор человека, липиды и ионы кальция. Тест на определение ПВ в соответствии с режиме "Quick" является точным скрининговым тестом для внешней системы коагуляции. очень чувствителен к антагонистам витамина К, сниженному уровню факторов по внешнему пути (фактор II, V, VII и X), наследственным или приобретенным нарушениям свертывания крови и печеночной недостаточности. Таким образом, ПВ реагентом оптимально используется для предварительного хирургического скрининга и мониторинга пероральной антикоагулянтной терапии (ПАТ). Реагент с соответствующим количеством дефицитной плазмой также подходит для определения активности внешнего пути коагуляции. Кроме того, реагент имеет повышенную чувствительность к определенным факторам, таким как фактор VII, из-за этих характеристик в некоторых случаях он может вызвать длительную коагуляцию по сравнению с тромбопластинами их экстрактов ткани. Для полуавтоматического коагулометра Yumizen G400</w:t>
            </w:r>
          </w:p>
        </w:tc>
        <w:tc>
          <w:tcPr>
            <w:tcW w:w="1276" w:type="dxa"/>
            <w:shd w:val="clear" w:color="000000" w:fill="FFFFFF"/>
          </w:tcPr>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cs="Times New Roman"/>
                <w:sz w:val="24"/>
                <w:szCs w:val="24"/>
              </w:rPr>
            </w:pPr>
            <w:r w:rsidRPr="00BD6C2F">
              <w:rPr>
                <w:rFonts w:ascii="Times New Roman" w:hAnsi="Times New Roman"/>
                <w:sz w:val="24"/>
                <w:szCs w:val="24"/>
              </w:rPr>
              <w:t>набор</w:t>
            </w:r>
          </w:p>
        </w:tc>
        <w:tc>
          <w:tcPr>
            <w:tcW w:w="992" w:type="dxa"/>
            <w:shd w:val="clear" w:color="000000" w:fill="FFFFFF"/>
            <w:noWrap/>
          </w:tcPr>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cs="Times New Roman"/>
                <w:sz w:val="24"/>
                <w:szCs w:val="24"/>
              </w:rPr>
            </w:pPr>
            <w:r w:rsidRPr="00BD6C2F">
              <w:rPr>
                <w:rFonts w:ascii="Times New Roman" w:hAnsi="Times New Roman"/>
                <w:sz w:val="24"/>
                <w:szCs w:val="24"/>
              </w:rPr>
              <w:t>6</w:t>
            </w:r>
          </w:p>
        </w:tc>
        <w:tc>
          <w:tcPr>
            <w:tcW w:w="1417"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p>
          <w:p w:rsidR="000C0B67" w:rsidRPr="00BD6C2F" w:rsidRDefault="000C0B67" w:rsidP="00B110AB">
            <w:pPr>
              <w:jc w:val="center"/>
              <w:rPr>
                <w:rFonts w:ascii="Times New Roman" w:hAnsi="Times New Roman" w:cs="Times New Roman"/>
                <w:sz w:val="24"/>
                <w:szCs w:val="24"/>
                <w:lang w:val="kk-KZ"/>
              </w:rPr>
            </w:pPr>
          </w:p>
          <w:p w:rsidR="000C0B67" w:rsidRPr="00BD6C2F" w:rsidRDefault="000C0B67" w:rsidP="00B110AB">
            <w:pPr>
              <w:jc w:val="center"/>
              <w:rPr>
                <w:rFonts w:ascii="Times New Roman" w:hAnsi="Times New Roman" w:cs="Times New Roman"/>
                <w:sz w:val="24"/>
                <w:szCs w:val="24"/>
                <w:lang w:val="kk-KZ"/>
              </w:rPr>
            </w:pPr>
          </w:p>
          <w:p w:rsidR="000C0B67" w:rsidRPr="00BD6C2F" w:rsidRDefault="000C0B67" w:rsidP="00B110AB">
            <w:pPr>
              <w:jc w:val="center"/>
              <w:rPr>
                <w:rFonts w:ascii="Times New Roman" w:hAnsi="Times New Roman" w:cs="Times New Roman"/>
                <w:sz w:val="24"/>
                <w:szCs w:val="24"/>
                <w:lang w:val="kk-KZ"/>
              </w:rPr>
            </w:pPr>
          </w:p>
          <w:p w:rsidR="000C0B67" w:rsidRPr="00BD6C2F" w:rsidRDefault="000C0B67" w:rsidP="00B110AB">
            <w:pPr>
              <w:jc w:val="center"/>
              <w:rPr>
                <w:rFonts w:ascii="Times New Roman" w:hAnsi="Times New Roman" w:cs="Times New Roman"/>
                <w:sz w:val="24"/>
                <w:szCs w:val="24"/>
                <w:lang w:val="kk-KZ"/>
              </w:rPr>
            </w:pPr>
          </w:p>
          <w:p w:rsidR="000C0B67" w:rsidRPr="00BD6C2F" w:rsidRDefault="000C0B67" w:rsidP="00B110AB">
            <w:pPr>
              <w:jc w:val="center"/>
              <w:rPr>
                <w:rFonts w:ascii="Times New Roman" w:hAnsi="Times New Roman" w:cs="Times New Roman"/>
                <w:sz w:val="24"/>
                <w:szCs w:val="24"/>
                <w:lang w:val="kk-KZ"/>
              </w:rPr>
            </w:pPr>
          </w:p>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lang w:val="kk-KZ"/>
              </w:rPr>
              <w:t>190 000</w:t>
            </w:r>
          </w:p>
        </w:tc>
        <w:tc>
          <w:tcPr>
            <w:tcW w:w="1758" w:type="dxa"/>
            <w:shd w:val="clear" w:color="000000" w:fill="FFFFFF"/>
            <w:noWrap/>
          </w:tcPr>
          <w:p w:rsidR="000C0B67" w:rsidRPr="00BD6C2F" w:rsidRDefault="000C0B67" w:rsidP="00B110AB">
            <w:pPr>
              <w:jc w:val="center"/>
              <w:rPr>
                <w:rFonts w:ascii="Times New Roman" w:hAnsi="Times New Roman" w:cs="Times New Roman"/>
                <w:sz w:val="24"/>
                <w:szCs w:val="24"/>
                <w:lang w:val="kk-KZ"/>
              </w:rPr>
            </w:pPr>
          </w:p>
          <w:p w:rsidR="000C0B67" w:rsidRPr="00BD6C2F" w:rsidRDefault="000C0B67" w:rsidP="00B110AB">
            <w:pPr>
              <w:jc w:val="center"/>
              <w:rPr>
                <w:rFonts w:ascii="Times New Roman" w:hAnsi="Times New Roman" w:cs="Times New Roman"/>
                <w:sz w:val="24"/>
                <w:szCs w:val="24"/>
                <w:lang w:val="kk-KZ"/>
              </w:rPr>
            </w:pPr>
          </w:p>
          <w:p w:rsidR="000C0B67" w:rsidRPr="00BD6C2F" w:rsidRDefault="000C0B67" w:rsidP="00B110AB">
            <w:pPr>
              <w:jc w:val="center"/>
              <w:rPr>
                <w:rFonts w:ascii="Times New Roman" w:hAnsi="Times New Roman" w:cs="Times New Roman"/>
                <w:sz w:val="24"/>
                <w:szCs w:val="24"/>
                <w:lang w:val="kk-KZ"/>
              </w:rPr>
            </w:pPr>
          </w:p>
          <w:p w:rsidR="000C0B67" w:rsidRPr="00BD6C2F" w:rsidRDefault="000C0B67" w:rsidP="00B110AB">
            <w:pPr>
              <w:jc w:val="center"/>
              <w:rPr>
                <w:rFonts w:ascii="Times New Roman" w:hAnsi="Times New Roman" w:cs="Times New Roman"/>
                <w:sz w:val="24"/>
                <w:szCs w:val="24"/>
                <w:lang w:val="kk-KZ"/>
              </w:rPr>
            </w:pPr>
          </w:p>
          <w:p w:rsidR="000C0B67" w:rsidRPr="00BD6C2F" w:rsidRDefault="000C0B67" w:rsidP="00B110AB">
            <w:pPr>
              <w:jc w:val="center"/>
              <w:rPr>
                <w:rFonts w:ascii="Times New Roman" w:hAnsi="Times New Roman" w:cs="Times New Roman"/>
                <w:sz w:val="24"/>
                <w:szCs w:val="24"/>
                <w:lang w:val="kk-KZ"/>
              </w:rPr>
            </w:pPr>
          </w:p>
          <w:p w:rsidR="000C0B67" w:rsidRPr="00BD6C2F" w:rsidRDefault="000C0B67" w:rsidP="00B110AB">
            <w:pPr>
              <w:jc w:val="center"/>
              <w:rPr>
                <w:rFonts w:ascii="Times New Roman" w:hAnsi="Times New Roman" w:cs="Times New Roman"/>
                <w:sz w:val="24"/>
                <w:szCs w:val="24"/>
                <w:lang w:val="kk-KZ"/>
              </w:rPr>
            </w:pPr>
          </w:p>
          <w:p w:rsidR="000C0B67" w:rsidRPr="00BD6C2F" w:rsidRDefault="000C0B67" w:rsidP="00B110AB">
            <w:pPr>
              <w:jc w:val="center"/>
              <w:rPr>
                <w:rFonts w:ascii="Times New Roman" w:hAnsi="Times New Roman" w:cs="Times New Roman"/>
                <w:sz w:val="24"/>
                <w:szCs w:val="24"/>
                <w:lang w:val="kk-KZ"/>
              </w:rPr>
            </w:pPr>
            <w:r w:rsidRPr="00BD6C2F">
              <w:rPr>
                <w:rFonts w:ascii="Times New Roman" w:hAnsi="Times New Roman" w:cs="Times New Roman"/>
                <w:sz w:val="24"/>
                <w:szCs w:val="24"/>
                <w:lang w:val="kk-KZ"/>
              </w:rPr>
              <w:t>1 140 000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color w:val="000000"/>
                <w:sz w:val="24"/>
                <w:szCs w:val="24"/>
              </w:rPr>
              <w:t>32</w:t>
            </w:r>
          </w:p>
        </w:tc>
        <w:tc>
          <w:tcPr>
            <w:tcW w:w="2156" w:type="dxa"/>
            <w:shd w:val="clear" w:color="000000" w:fill="FFFFFF"/>
          </w:tcPr>
          <w:p w:rsidR="000C0B67" w:rsidRPr="00BD6C2F" w:rsidRDefault="000C0B67" w:rsidP="00B110AB">
            <w:pPr>
              <w:spacing w:after="0"/>
              <w:rPr>
                <w:rFonts w:ascii="Times New Roman" w:hAnsi="Times New Roman"/>
                <w:sz w:val="24"/>
                <w:szCs w:val="24"/>
              </w:rPr>
            </w:pPr>
          </w:p>
          <w:p w:rsidR="000C0B67" w:rsidRPr="00BD6C2F" w:rsidRDefault="000C0B67" w:rsidP="00B110AB">
            <w:pPr>
              <w:spacing w:after="0"/>
              <w:rPr>
                <w:rFonts w:ascii="Times New Roman" w:hAnsi="Times New Roman"/>
                <w:sz w:val="24"/>
                <w:szCs w:val="24"/>
              </w:rPr>
            </w:pPr>
          </w:p>
          <w:p w:rsidR="000C0B67" w:rsidRPr="00BD6C2F" w:rsidRDefault="000C0B67" w:rsidP="00B110AB">
            <w:pPr>
              <w:spacing w:after="0"/>
              <w:rPr>
                <w:rFonts w:ascii="Times New Roman" w:hAnsi="Times New Roman"/>
                <w:sz w:val="24"/>
                <w:szCs w:val="24"/>
              </w:rPr>
            </w:pPr>
          </w:p>
          <w:p w:rsidR="000C0B67" w:rsidRPr="00BD6C2F" w:rsidRDefault="000C0B67" w:rsidP="00B110AB">
            <w:pPr>
              <w:spacing w:after="0"/>
              <w:rPr>
                <w:rFonts w:ascii="Times New Roman" w:hAnsi="Times New Roman"/>
                <w:sz w:val="24"/>
                <w:szCs w:val="24"/>
              </w:rPr>
            </w:pPr>
          </w:p>
          <w:p w:rsidR="000C0B67" w:rsidRPr="00BD6C2F" w:rsidRDefault="000C0B67" w:rsidP="00B110AB">
            <w:pPr>
              <w:spacing w:after="0"/>
              <w:rPr>
                <w:rFonts w:ascii="Times New Roman" w:hAnsi="Times New Roman"/>
                <w:sz w:val="24"/>
                <w:szCs w:val="24"/>
              </w:rPr>
            </w:pPr>
          </w:p>
          <w:p w:rsidR="000C0B67" w:rsidRPr="00BD6C2F" w:rsidRDefault="000C0B67" w:rsidP="00B110AB">
            <w:pPr>
              <w:spacing w:after="0"/>
              <w:rPr>
                <w:rFonts w:ascii="Times New Roman" w:hAnsi="Times New Roman"/>
                <w:sz w:val="24"/>
                <w:szCs w:val="24"/>
              </w:rPr>
            </w:pPr>
          </w:p>
          <w:p w:rsidR="000C0B67" w:rsidRPr="00BD6C2F" w:rsidRDefault="000C0B67" w:rsidP="00B110AB">
            <w:pPr>
              <w:spacing w:after="0"/>
              <w:rPr>
                <w:rFonts w:ascii="Times New Roman" w:hAnsi="Times New Roman"/>
                <w:sz w:val="24"/>
                <w:szCs w:val="24"/>
                <w:lang w:val="kk-KZ"/>
              </w:rPr>
            </w:pPr>
            <w:r w:rsidRPr="00BD6C2F">
              <w:rPr>
                <w:rFonts w:ascii="Times New Roman" w:hAnsi="Times New Roman"/>
                <w:sz w:val="24"/>
                <w:szCs w:val="24"/>
              </w:rPr>
              <w:lastRenderedPageBreak/>
              <w:t>АЧТВ</w:t>
            </w:r>
            <w:r w:rsidRPr="00BD6C2F">
              <w:rPr>
                <w:rFonts w:ascii="Times New Roman" w:hAnsi="Times New Roman"/>
                <w:sz w:val="24"/>
                <w:szCs w:val="24"/>
                <w:lang w:val="kk-KZ"/>
              </w:rPr>
              <w:t xml:space="preserve"> </w:t>
            </w:r>
          </w:p>
          <w:p w:rsidR="000C0B67" w:rsidRPr="00BD6C2F" w:rsidRDefault="000C0B67" w:rsidP="00B110AB">
            <w:pPr>
              <w:spacing w:after="0"/>
              <w:rPr>
                <w:rFonts w:ascii="Times New Roman" w:hAnsi="Times New Roman" w:cs="Times New Roman"/>
                <w:sz w:val="24"/>
                <w:szCs w:val="24"/>
                <w:lang w:val="kk-KZ"/>
              </w:rPr>
            </w:pPr>
            <w:r w:rsidRPr="00BD6C2F">
              <w:rPr>
                <w:rFonts w:ascii="Times New Roman" w:hAnsi="Times New Roman"/>
                <w:sz w:val="24"/>
                <w:szCs w:val="24"/>
                <w:lang w:val="kk-KZ"/>
              </w:rPr>
              <w:t>(4 жидкий 12x4 мл)</w:t>
            </w:r>
          </w:p>
        </w:tc>
        <w:tc>
          <w:tcPr>
            <w:tcW w:w="6095" w:type="dxa"/>
            <w:shd w:val="clear" w:color="000000" w:fill="FFFFFF"/>
          </w:tcPr>
          <w:p w:rsidR="000C0B67" w:rsidRPr="00BD6C2F" w:rsidRDefault="000C0B67" w:rsidP="00B110AB">
            <w:pPr>
              <w:spacing w:after="0"/>
              <w:rPr>
                <w:rFonts w:ascii="Times New Roman" w:hAnsi="Times New Roman" w:cs="Times New Roman"/>
                <w:sz w:val="24"/>
                <w:szCs w:val="24"/>
              </w:rPr>
            </w:pPr>
            <w:r w:rsidRPr="00BD6C2F">
              <w:rPr>
                <w:rFonts w:ascii="Times New Roman" w:hAnsi="Times New Roman"/>
                <w:sz w:val="24"/>
                <w:szCs w:val="24"/>
              </w:rPr>
              <w:lastRenderedPageBreak/>
              <w:t xml:space="preserve">Набор тестов на АЧТВ представляет собой экстракт фосфолипида, полученный из мозга кролика. АЧТВ-тест является точным скрининговым тестом для внешней системы коагуляции. Очень чувствителен к сниженному уровню факторов по внешнему пути (фактор I, II, V, VIII, IX, X, XI и XII), наследственным или </w:t>
            </w:r>
            <w:r w:rsidRPr="00BD6C2F">
              <w:rPr>
                <w:rFonts w:ascii="Times New Roman" w:hAnsi="Times New Roman"/>
                <w:sz w:val="24"/>
                <w:szCs w:val="24"/>
              </w:rPr>
              <w:lastRenderedPageBreak/>
              <w:t>приобретенным нарушениям свертывания крови и печеночной недостаточности. Таким образом, АЧТВ реагентом оптимально используется для предварительного хирургического скрининга и мониторинга гепаринотерапии. соответствующим количеством дефицитной плазмой также подходит для определения активности внешнего пути коагуляции. для полуавтоматического коагулометра Yumizen G400 DDI</w:t>
            </w:r>
          </w:p>
        </w:tc>
        <w:tc>
          <w:tcPr>
            <w:tcW w:w="1276" w:type="dxa"/>
            <w:shd w:val="clear" w:color="000000" w:fill="FFFFFF"/>
          </w:tcPr>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cs="Times New Roman"/>
                <w:sz w:val="24"/>
                <w:szCs w:val="24"/>
              </w:rPr>
            </w:pPr>
            <w:r w:rsidRPr="00BD6C2F">
              <w:rPr>
                <w:rFonts w:ascii="Times New Roman" w:hAnsi="Times New Roman"/>
                <w:sz w:val="24"/>
                <w:szCs w:val="24"/>
              </w:rPr>
              <w:t>набор</w:t>
            </w:r>
          </w:p>
        </w:tc>
        <w:tc>
          <w:tcPr>
            <w:tcW w:w="992" w:type="dxa"/>
            <w:shd w:val="clear" w:color="000000" w:fill="FFFFFF"/>
            <w:noWrap/>
          </w:tcPr>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cs="Times New Roman"/>
                <w:sz w:val="24"/>
                <w:szCs w:val="24"/>
              </w:rPr>
            </w:pPr>
            <w:r w:rsidRPr="00BD6C2F">
              <w:rPr>
                <w:rFonts w:ascii="Times New Roman" w:hAnsi="Times New Roman"/>
                <w:sz w:val="24"/>
                <w:szCs w:val="24"/>
              </w:rPr>
              <w:t>6</w:t>
            </w:r>
          </w:p>
        </w:tc>
        <w:tc>
          <w:tcPr>
            <w:tcW w:w="1417" w:type="dxa"/>
            <w:shd w:val="clear" w:color="000000" w:fill="FFFFFF"/>
            <w:noWrap/>
          </w:tcPr>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cs="Times New Roman"/>
                <w:sz w:val="24"/>
                <w:szCs w:val="24"/>
              </w:rPr>
            </w:pPr>
            <w:r w:rsidRPr="00BD6C2F">
              <w:rPr>
                <w:rFonts w:ascii="Times New Roman" w:hAnsi="Times New Roman"/>
                <w:sz w:val="24"/>
                <w:szCs w:val="24"/>
              </w:rPr>
              <w:t>83 500</w:t>
            </w:r>
          </w:p>
        </w:tc>
        <w:tc>
          <w:tcPr>
            <w:tcW w:w="1758" w:type="dxa"/>
            <w:shd w:val="clear" w:color="000000" w:fill="FFFFFF"/>
            <w:noWrap/>
          </w:tcPr>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cs="Times New Roman"/>
                <w:sz w:val="24"/>
                <w:szCs w:val="24"/>
              </w:rPr>
            </w:pPr>
            <w:r w:rsidRPr="00BD6C2F">
              <w:rPr>
                <w:rFonts w:ascii="Times New Roman" w:hAnsi="Times New Roman"/>
                <w:sz w:val="24"/>
                <w:szCs w:val="24"/>
              </w:rPr>
              <w:t>501 000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color w:val="000000"/>
                <w:sz w:val="24"/>
                <w:szCs w:val="24"/>
              </w:rPr>
              <w:lastRenderedPageBreak/>
              <w:t>33</w:t>
            </w:r>
          </w:p>
        </w:tc>
        <w:tc>
          <w:tcPr>
            <w:tcW w:w="2156" w:type="dxa"/>
            <w:shd w:val="clear" w:color="000000" w:fill="FFFFFF"/>
          </w:tcPr>
          <w:p w:rsidR="000C0B67" w:rsidRPr="00BD6C2F" w:rsidRDefault="000C0B67" w:rsidP="00B110AB">
            <w:pPr>
              <w:rPr>
                <w:rFonts w:ascii="Times New Roman" w:hAnsi="Times New Roman"/>
                <w:sz w:val="24"/>
                <w:szCs w:val="24"/>
              </w:rPr>
            </w:pPr>
          </w:p>
          <w:p w:rsidR="000C0B67" w:rsidRPr="00BD6C2F" w:rsidRDefault="000C0B67" w:rsidP="00B110AB">
            <w:pPr>
              <w:rPr>
                <w:rFonts w:ascii="Times New Roman" w:hAnsi="Times New Roman" w:cs="Times New Roman"/>
                <w:sz w:val="24"/>
                <w:szCs w:val="24"/>
              </w:rPr>
            </w:pPr>
            <w:r w:rsidRPr="00BD6C2F">
              <w:rPr>
                <w:rFonts w:ascii="Times New Roman" w:hAnsi="Times New Roman"/>
                <w:sz w:val="24"/>
                <w:szCs w:val="24"/>
              </w:rPr>
              <w:t>Кальций хлор</w:t>
            </w:r>
            <w:r w:rsidRPr="00BD6C2F">
              <w:rPr>
                <w:sz w:val="24"/>
                <w:szCs w:val="24"/>
              </w:rPr>
              <w:t xml:space="preserve"> </w:t>
            </w:r>
            <w:r w:rsidRPr="00BD6C2F">
              <w:rPr>
                <w:rFonts w:ascii="Times New Roman" w:hAnsi="Times New Roman"/>
                <w:sz w:val="24"/>
                <w:szCs w:val="24"/>
              </w:rPr>
              <w:t>(12x4 мл)</w:t>
            </w:r>
          </w:p>
        </w:tc>
        <w:tc>
          <w:tcPr>
            <w:tcW w:w="6095" w:type="dxa"/>
            <w:shd w:val="clear" w:color="000000" w:fill="FFFFFF"/>
          </w:tcPr>
          <w:p w:rsidR="000C0B67" w:rsidRPr="00BD6C2F" w:rsidRDefault="000C0B67" w:rsidP="00B110AB">
            <w:pPr>
              <w:spacing w:after="0"/>
              <w:rPr>
                <w:rFonts w:ascii="Times New Roman" w:hAnsi="Times New Roman" w:cs="Times New Roman"/>
                <w:sz w:val="24"/>
                <w:szCs w:val="24"/>
              </w:rPr>
            </w:pPr>
            <w:r w:rsidRPr="00BD6C2F">
              <w:rPr>
                <w:rFonts w:ascii="Times New Roman" w:hAnsi="Times New Roman"/>
                <w:sz w:val="24"/>
                <w:szCs w:val="24"/>
              </w:rPr>
              <w:t xml:space="preserve">Кальций хлор предназначен для скрининг-тестов гемостаза. </w:t>
            </w:r>
            <w:r w:rsidRPr="00BD6C2F">
              <w:rPr>
                <w:rFonts w:ascii="Times New Roman" w:hAnsi="Times New Roman"/>
                <w:sz w:val="24"/>
                <w:szCs w:val="24"/>
                <w:lang w:val="kk-KZ"/>
              </w:rPr>
              <w:t>Д</w:t>
            </w:r>
            <w:r w:rsidRPr="00BD6C2F">
              <w:rPr>
                <w:rFonts w:ascii="Times New Roman" w:hAnsi="Times New Roman"/>
                <w:sz w:val="24"/>
                <w:szCs w:val="24"/>
              </w:rPr>
              <w:t>ля полуавтоматического коагулометра Yumizen G400 DDI</w:t>
            </w:r>
          </w:p>
        </w:tc>
        <w:tc>
          <w:tcPr>
            <w:tcW w:w="1276" w:type="dxa"/>
            <w:shd w:val="clear" w:color="000000" w:fill="FFFFFF"/>
          </w:tcPr>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cs="Times New Roman"/>
                <w:sz w:val="24"/>
                <w:szCs w:val="24"/>
              </w:rPr>
            </w:pPr>
            <w:r w:rsidRPr="00BD6C2F">
              <w:rPr>
                <w:rFonts w:ascii="Times New Roman" w:hAnsi="Times New Roman"/>
                <w:sz w:val="24"/>
                <w:szCs w:val="24"/>
              </w:rPr>
              <w:t>набор</w:t>
            </w:r>
          </w:p>
        </w:tc>
        <w:tc>
          <w:tcPr>
            <w:tcW w:w="992" w:type="dxa"/>
            <w:shd w:val="clear" w:color="000000" w:fill="FFFFFF"/>
            <w:noWrap/>
          </w:tcPr>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cs="Times New Roman"/>
                <w:sz w:val="24"/>
                <w:szCs w:val="24"/>
              </w:rPr>
            </w:pPr>
            <w:r w:rsidRPr="00BD6C2F">
              <w:rPr>
                <w:rFonts w:ascii="Times New Roman" w:hAnsi="Times New Roman"/>
                <w:sz w:val="24"/>
                <w:szCs w:val="24"/>
              </w:rPr>
              <w:t>5</w:t>
            </w:r>
          </w:p>
        </w:tc>
        <w:tc>
          <w:tcPr>
            <w:tcW w:w="1417" w:type="dxa"/>
            <w:shd w:val="clear" w:color="000000" w:fill="FFFFFF"/>
            <w:noWrap/>
          </w:tcPr>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cs="Times New Roman"/>
                <w:sz w:val="24"/>
                <w:szCs w:val="24"/>
              </w:rPr>
            </w:pPr>
            <w:r w:rsidRPr="00BD6C2F">
              <w:rPr>
                <w:rFonts w:ascii="Times New Roman" w:hAnsi="Times New Roman"/>
                <w:sz w:val="24"/>
                <w:szCs w:val="24"/>
              </w:rPr>
              <w:t>26 500</w:t>
            </w:r>
          </w:p>
        </w:tc>
        <w:tc>
          <w:tcPr>
            <w:tcW w:w="1758" w:type="dxa"/>
            <w:shd w:val="clear" w:color="000000" w:fill="FFFFFF"/>
            <w:noWrap/>
          </w:tcPr>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cs="Times New Roman"/>
                <w:sz w:val="24"/>
                <w:szCs w:val="24"/>
              </w:rPr>
            </w:pPr>
            <w:r w:rsidRPr="00BD6C2F">
              <w:rPr>
                <w:rFonts w:ascii="Times New Roman" w:hAnsi="Times New Roman"/>
                <w:sz w:val="24"/>
                <w:szCs w:val="24"/>
              </w:rPr>
              <w:t>132 500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color w:val="000000"/>
                <w:sz w:val="24"/>
                <w:szCs w:val="24"/>
              </w:rPr>
              <w:t>34</w:t>
            </w:r>
          </w:p>
        </w:tc>
        <w:tc>
          <w:tcPr>
            <w:tcW w:w="2156" w:type="dxa"/>
            <w:shd w:val="clear" w:color="000000" w:fill="FFFFFF"/>
          </w:tcPr>
          <w:p w:rsidR="000C0B67" w:rsidRPr="00BD6C2F" w:rsidRDefault="000C0B67" w:rsidP="00B110AB">
            <w:pPr>
              <w:pStyle w:val="a5"/>
              <w:rPr>
                <w:rFonts w:ascii="Times New Roman" w:hAnsi="Times New Roman"/>
                <w:sz w:val="24"/>
                <w:szCs w:val="24"/>
                <w:lang w:eastAsia="en-US"/>
              </w:rPr>
            </w:pPr>
          </w:p>
          <w:p w:rsidR="000C0B67" w:rsidRPr="00BD6C2F" w:rsidRDefault="000C0B67" w:rsidP="00B110AB">
            <w:pPr>
              <w:pStyle w:val="a5"/>
              <w:rPr>
                <w:rFonts w:ascii="Times New Roman" w:hAnsi="Times New Roman"/>
                <w:sz w:val="24"/>
                <w:szCs w:val="24"/>
                <w:lang w:eastAsia="en-US"/>
              </w:rPr>
            </w:pPr>
          </w:p>
          <w:p w:rsidR="000C0B67" w:rsidRPr="00BD6C2F" w:rsidRDefault="000C0B67" w:rsidP="00B110AB">
            <w:pPr>
              <w:pStyle w:val="a5"/>
              <w:rPr>
                <w:rFonts w:ascii="Times New Roman" w:hAnsi="Times New Roman"/>
                <w:sz w:val="24"/>
                <w:szCs w:val="24"/>
                <w:lang w:eastAsia="en-US"/>
              </w:rPr>
            </w:pPr>
          </w:p>
          <w:p w:rsidR="000C0B67" w:rsidRPr="00BD6C2F" w:rsidRDefault="000C0B67" w:rsidP="00B110AB">
            <w:pPr>
              <w:pStyle w:val="a5"/>
              <w:rPr>
                <w:rFonts w:ascii="Times New Roman" w:hAnsi="Times New Roman"/>
                <w:sz w:val="24"/>
                <w:szCs w:val="24"/>
                <w:lang w:eastAsia="en-US"/>
              </w:rPr>
            </w:pPr>
          </w:p>
          <w:p w:rsidR="000C0B67" w:rsidRPr="00BD6C2F" w:rsidRDefault="000C0B67" w:rsidP="00B110AB">
            <w:pPr>
              <w:pStyle w:val="a5"/>
              <w:rPr>
                <w:rFonts w:ascii="Times New Roman" w:hAnsi="Times New Roman"/>
                <w:sz w:val="24"/>
                <w:szCs w:val="24"/>
                <w:lang w:eastAsia="en-US"/>
              </w:rPr>
            </w:pPr>
          </w:p>
          <w:p w:rsidR="000C0B67" w:rsidRPr="00BD6C2F" w:rsidRDefault="000C0B67" w:rsidP="00B110AB">
            <w:pPr>
              <w:spacing w:after="0"/>
              <w:rPr>
                <w:rFonts w:ascii="Times New Roman" w:hAnsi="Times New Roman"/>
                <w:sz w:val="24"/>
                <w:szCs w:val="24"/>
              </w:rPr>
            </w:pPr>
            <w:r w:rsidRPr="00BD6C2F">
              <w:rPr>
                <w:rFonts w:ascii="Times New Roman" w:hAnsi="Times New Roman"/>
                <w:sz w:val="24"/>
                <w:szCs w:val="24"/>
              </w:rPr>
              <w:t>Тромбиновое время</w:t>
            </w:r>
          </w:p>
          <w:p w:rsidR="000C0B67" w:rsidRPr="00BD6C2F" w:rsidRDefault="000C0B67" w:rsidP="00B110AB">
            <w:pPr>
              <w:spacing w:after="0"/>
              <w:rPr>
                <w:rFonts w:ascii="Times New Roman" w:hAnsi="Times New Roman"/>
                <w:sz w:val="24"/>
                <w:szCs w:val="24"/>
                <w:lang w:val="en-US"/>
              </w:rPr>
            </w:pPr>
            <w:r w:rsidRPr="00BD6C2F">
              <w:rPr>
                <w:rFonts w:ascii="Times New Roman" w:hAnsi="Times New Roman"/>
                <w:sz w:val="24"/>
                <w:szCs w:val="24"/>
                <w:lang w:val="en-US"/>
              </w:rPr>
              <w:t xml:space="preserve">(12x3 </w:t>
            </w:r>
            <w:r w:rsidRPr="00BD6C2F">
              <w:rPr>
                <w:rFonts w:ascii="Times New Roman" w:hAnsi="Times New Roman"/>
                <w:sz w:val="24"/>
                <w:szCs w:val="24"/>
              </w:rPr>
              <w:t>мл</w:t>
            </w:r>
            <w:r w:rsidRPr="00BD6C2F">
              <w:rPr>
                <w:rFonts w:ascii="Times New Roman" w:hAnsi="Times New Roman"/>
                <w:sz w:val="24"/>
                <w:szCs w:val="24"/>
                <w:lang w:val="en-US"/>
              </w:rPr>
              <w:t>)</w:t>
            </w:r>
          </w:p>
          <w:p w:rsidR="000C0B67" w:rsidRPr="00BD6C2F" w:rsidRDefault="000C0B67" w:rsidP="00B110AB">
            <w:pPr>
              <w:spacing w:after="0"/>
              <w:rPr>
                <w:rFonts w:ascii="Times New Roman" w:hAnsi="Times New Roman" w:cs="Times New Roman"/>
                <w:sz w:val="24"/>
                <w:szCs w:val="24"/>
                <w:lang w:val="en-US"/>
              </w:rPr>
            </w:pPr>
          </w:p>
        </w:tc>
        <w:tc>
          <w:tcPr>
            <w:tcW w:w="6095" w:type="dxa"/>
            <w:shd w:val="clear" w:color="000000" w:fill="FFFFFF"/>
          </w:tcPr>
          <w:p w:rsidR="000C0B67" w:rsidRPr="00BD6C2F" w:rsidRDefault="000C0B67" w:rsidP="00B110AB">
            <w:pPr>
              <w:spacing w:after="0"/>
              <w:rPr>
                <w:rFonts w:ascii="Times New Roman" w:hAnsi="Times New Roman" w:cs="Times New Roman"/>
                <w:sz w:val="24"/>
                <w:szCs w:val="24"/>
              </w:rPr>
            </w:pPr>
            <w:r w:rsidRPr="00BD6C2F">
              <w:rPr>
                <w:rFonts w:ascii="Times New Roman" w:hAnsi="Times New Roman"/>
                <w:sz w:val="24"/>
                <w:szCs w:val="24"/>
              </w:rPr>
              <w:t>Реагент представляет лиофилизированный реагент, который используется для определения тромбинового времени (ТВ). Тест на определение ПВ предназначен для оценки образования фибрина. На Т</w:t>
            </w:r>
            <w:r w:rsidRPr="00BD6C2F">
              <w:rPr>
                <w:rFonts w:ascii="Times New Roman" w:hAnsi="Times New Roman"/>
                <w:sz w:val="24"/>
                <w:szCs w:val="24"/>
                <w:lang w:val="kk-KZ"/>
              </w:rPr>
              <w:t>ромбиновое время</w:t>
            </w:r>
            <w:r w:rsidRPr="00BD6C2F">
              <w:rPr>
                <w:rFonts w:ascii="Times New Roman" w:hAnsi="Times New Roman"/>
                <w:sz w:val="24"/>
                <w:szCs w:val="24"/>
              </w:rPr>
              <w:t xml:space="preserve"> влияют только факторы, которые сталкиваются с тромбином или фибриногеном. Т</w:t>
            </w:r>
            <w:r w:rsidRPr="00BD6C2F">
              <w:rPr>
                <w:rFonts w:ascii="Times New Roman" w:hAnsi="Times New Roman"/>
                <w:sz w:val="24"/>
                <w:szCs w:val="24"/>
                <w:lang w:val="kk-KZ"/>
              </w:rPr>
              <w:t>ромбиновое время</w:t>
            </w:r>
            <w:r w:rsidRPr="00BD6C2F">
              <w:rPr>
                <w:rFonts w:ascii="Times New Roman" w:hAnsi="Times New Roman"/>
                <w:sz w:val="24"/>
                <w:szCs w:val="24"/>
              </w:rPr>
              <w:t xml:space="preserve"> повышается при диссеминированном внутрисосудистом свёртывании крови (ПДФ мешают полимеризации), при низких уровнях фибриногена, дисфибриногемии и гепарине (очень чувствительные). Реагент Yumizen G TT в интактном флаконе сохраняет устойчивость до истечения срока годности, указанного на флаконе, в случае хранения при температуре 2-8 °C.  для автоматического коагулометра Yumizen G400</w:t>
            </w:r>
          </w:p>
        </w:tc>
        <w:tc>
          <w:tcPr>
            <w:tcW w:w="1276" w:type="dxa"/>
            <w:shd w:val="clear" w:color="000000" w:fill="FFFFFF"/>
          </w:tcPr>
          <w:p w:rsidR="000C0B67" w:rsidRPr="00BD6C2F" w:rsidRDefault="000C0B67" w:rsidP="00B110AB">
            <w:pPr>
              <w:pStyle w:val="a5"/>
              <w:jc w:val="center"/>
              <w:rPr>
                <w:rFonts w:ascii="Times New Roman" w:hAnsi="Times New Roman"/>
                <w:sz w:val="24"/>
                <w:szCs w:val="24"/>
                <w:lang w:eastAsia="en-US"/>
              </w:rPr>
            </w:pPr>
          </w:p>
          <w:p w:rsidR="000C0B67" w:rsidRPr="00BD6C2F" w:rsidRDefault="000C0B67" w:rsidP="00B110AB">
            <w:pPr>
              <w:pStyle w:val="a5"/>
              <w:jc w:val="center"/>
              <w:rPr>
                <w:rFonts w:ascii="Times New Roman" w:hAnsi="Times New Roman"/>
                <w:sz w:val="24"/>
                <w:szCs w:val="24"/>
                <w:lang w:eastAsia="en-US"/>
              </w:rPr>
            </w:pPr>
          </w:p>
          <w:p w:rsidR="000C0B67" w:rsidRPr="00BD6C2F" w:rsidRDefault="000C0B67" w:rsidP="00B110AB">
            <w:pPr>
              <w:pStyle w:val="a5"/>
              <w:jc w:val="center"/>
              <w:rPr>
                <w:rFonts w:ascii="Times New Roman" w:hAnsi="Times New Roman"/>
                <w:sz w:val="24"/>
                <w:szCs w:val="24"/>
                <w:lang w:eastAsia="en-US"/>
              </w:rPr>
            </w:pPr>
          </w:p>
          <w:p w:rsidR="000C0B67" w:rsidRPr="00BD6C2F" w:rsidRDefault="000C0B67" w:rsidP="00B110AB">
            <w:pPr>
              <w:pStyle w:val="a5"/>
              <w:jc w:val="center"/>
              <w:rPr>
                <w:rFonts w:ascii="Times New Roman" w:hAnsi="Times New Roman"/>
                <w:sz w:val="24"/>
                <w:szCs w:val="24"/>
                <w:lang w:eastAsia="en-US"/>
              </w:rPr>
            </w:pPr>
          </w:p>
          <w:p w:rsidR="000C0B67" w:rsidRPr="00BD6C2F" w:rsidRDefault="000C0B67" w:rsidP="00B110AB">
            <w:pPr>
              <w:pStyle w:val="a5"/>
              <w:jc w:val="center"/>
              <w:rPr>
                <w:rFonts w:ascii="Times New Roman" w:hAnsi="Times New Roman"/>
                <w:sz w:val="24"/>
                <w:szCs w:val="24"/>
                <w:lang w:eastAsia="en-US"/>
              </w:rPr>
            </w:pPr>
          </w:p>
          <w:p w:rsidR="000C0B67" w:rsidRPr="00BD6C2F" w:rsidRDefault="000C0B67" w:rsidP="00B110AB">
            <w:pPr>
              <w:jc w:val="center"/>
              <w:rPr>
                <w:rFonts w:ascii="Times New Roman" w:hAnsi="Times New Roman" w:cs="Times New Roman"/>
                <w:sz w:val="24"/>
                <w:szCs w:val="24"/>
              </w:rPr>
            </w:pPr>
            <w:r w:rsidRPr="00BD6C2F">
              <w:rPr>
                <w:rFonts w:ascii="Times New Roman" w:hAnsi="Times New Roman"/>
                <w:sz w:val="24"/>
                <w:szCs w:val="24"/>
              </w:rPr>
              <w:t>набор</w:t>
            </w:r>
          </w:p>
        </w:tc>
        <w:tc>
          <w:tcPr>
            <w:tcW w:w="992" w:type="dxa"/>
            <w:shd w:val="clear" w:color="000000" w:fill="FFFFFF"/>
            <w:noWrap/>
          </w:tcPr>
          <w:p w:rsidR="000C0B67" w:rsidRPr="00BD6C2F" w:rsidRDefault="000C0B67" w:rsidP="00B110AB">
            <w:pPr>
              <w:pStyle w:val="a5"/>
              <w:jc w:val="center"/>
              <w:rPr>
                <w:rFonts w:ascii="Times New Roman" w:hAnsi="Times New Roman"/>
                <w:sz w:val="24"/>
                <w:szCs w:val="24"/>
                <w:lang w:eastAsia="en-US"/>
              </w:rPr>
            </w:pPr>
          </w:p>
          <w:p w:rsidR="000C0B67" w:rsidRPr="00BD6C2F" w:rsidRDefault="000C0B67" w:rsidP="00B110AB">
            <w:pPr>
              <w:pStyle w:val="a5"/>
              <w:jc w:val="center"/>
              <w:rPr>
                <w:rFonts w:ascii="Times New Roman" w:hAnsi="Times New Roman"/>
                <w:sz w:val="24"/>
                <w:szCs w:val="24"/>
                <w:lang w:eastAsia="en-US"/>
              </w:rPr>
            </w:pPr>
          </w:p>
          <w:p w:rsidR="000C0B67" w:rsidRPr="00BD6C2F" w:rsidRDefault="000C0B67" w:rsidP="00B110AB">
            <w:pPr>
              <w:pStyle w:val="a5"/>
              <w:jc w:val="center"/>
              <w:rPr>
                <w:rFonts w:ascii="Times New Roman" w:hAnsi="Times New Roman"/>
                <w:sz w:val="24"/>
                <w:szCs w:val="24"/>
                <w:lang w:eastAsia="en-US"/>
              </w:rPr>
            </w:pPr>
          </w:p>
          <w:p w:rsidR="000C0B67" w:rsidRPr="00BD6C2F" w:rsidRDefault="000C0B67" w:rsidP="00B110AB">
            <w:pPr>
              <w:pStyle w:val="a5"/>
              <w:jc w:val="center"/>
              <w:rPr>
                <w:rFonts w:ascii="Times New Roman" w:hAnsi="Times New Roman"/>
                <w:sz w:val="24"/>
                <w:szCs w:val="24"/>
                <w:lang w:eastAsia="en-US"/>
              </w:rPr>
            </w:pPr>
          </w:p>
          <w:p w:rsidR="000C0B67" w:rsidRPr="00BD6C2F" w:rsidRDefault="000C0B67" w:rsidP="00B110AB">
            <w:pPr>
              <w:pStyle w:val="a5"/>
              <w:jc w:val="center"/>
              <w:rPr>
                <w:rFonts w:ascii="Times New Roman" w:hAnsi="Times New Roman"/>
                <w:sz w:val="24"/>
                <w:szCs w:val="24"/>
                <w:lang w:eastAsia="en-US"/>
              </w:rPr>
            </w:pPr>
          </w:p>
          <w:p w:rsidR="000C0B67" w:rsidRPr="00BD6C2F" w:rsidRDefault="000C0B67" w:rsidP="00B110AB">
            <w:pPr>
              <w:jc w:val="center"/>
              <w:rPr>
                <w:rFonts w:ascii="Times New Roman" w:hAnsi="Times New Roman" w:cs="Times New Roman"/>
                <w:sz w:val="24"/>
                <w:szCs w:val="24"/>
              </w:rPr>
            </w:pPr>
            <w:r w:rsidRPr="00BD6C2F">
              <w:rPr>
                <w:rFonts w:ascii="Times New Roman" w:hAnsi="Times New Roman"/>
                <w:sz w:val="24"/>
                <w:szCs w:val="24"/>
              </w:rPr>
              <w:t>5</w:t>
            </w:r>
          </w:p>
        </w:tc>
        <w:tc>
          <w:tcPr>
            <w:tcW w:w="1417" w:type="dxa"/>
            <w:shd w:val="clear" w:color="000000" w:fill="FFFFFF"/>
            <w:noWrap/>
          </w:tcPr>
          <w:p w:rsidR="000C0B67" w:rsidRPr="00BD6C2F" w:rsidRDefault="000C0B67" w:rsidP="00B110AB">
            <w:pPr>
              <w:pStyle w:val="a5"/>
              <w:jc w:val="center"/>
              <w:rPr>
                <w:rFonts w:ascii="Times New Roman" w:hAnsi="Times New Roman"/>
                <w:sz w:val="24"/>
                <w:szCs w:val="24"/>
                <w:lang w:eastAsia="en-US"/>
              </w:rPr>
            </w:pPr>
          </w:p>
          <w:p w:rsidR="000C0B67" w:rsidRPr="00BD6C2F" w:rsidRDefault="000C0B67" w:rsidP="00B110AB">
            <w:pPr>
              <w:pStyle w:val="a5"/>
              <w:jc w:val="center"/>
              <w:rPr>
                <w:rFonts w:ascii="Times New Roman" w:hAnsi="Times New Roman"/>
                <w:sz w:val="24"/>
                <w:szCs w:val="24"/>
                <w:lang w:eastAsia="en-US"/>
              </w:rPr>
            </w:pPr>
          </w:p>
          <w:p w:rsidR="000C0B67" w:rsidRPr="00BD6C2F" w:rsidRDefault="000C0B67" w:rsidP="00B110AB">
            <w:pPr>
              <w:pStyle w:val="a5"/>
              <w:jc w:val="center"/>
              <w:rPr>
                <w:rFonts w:ascii="Times New Roman" w:hAnsi="Times New Roman"/>
                <w:sz w:val="24"/>
                <w:szCs w:val="24"/>
                <w:lang w:eastAsia="en-US"/>
              </w:rPr>
            </w:pPr>
          </w:p>
          <w:p w:rsidR="000C0B67" w:rsidRPr="00BD6C2F" w:rsidRDefault="000C0B67" w:rsidP="00B110AB">
            <w:pPr>
              <w:pStyle w:val="a5"/>
              <w:jc w:val="center"/>
              <w:rPr>
                <w:rFonts w:ascii="Times New Roman" w:hAnsi="Times New Roman"/>
                <w:sz w:val="24"/>
                <w:szCs w:val="24"/>
                <w:lang w:eastAsia="en-US"/>
              </w:rPr>
            </w:pPr>
          </w:p>
          <w:p w:rsidR="000C0B67" w:rsidRPr="00BD6C2F" w:rsidRDefault="000C0B67" w:rsidP="00B110AB">
            <w:pPr>
              <w:pStyle w:val="a5"/>
              <w:jc w:val="center"/>
              <w:rPr>
                <w:rFonts w:ascii="Times New Roman" w:hAnsi="Times New Roman"/>
                <w:sz w:val="24"/>
                <w:szCs w:val="24"/>
                <w:lang w:eastAsia="en-US"/>
              </w:rPr>
            </w:pPr>
          </w:p>
          <w:p w:rsidR="000C0B67" w:rsidRPr="00BD6C2F" w:rsidRDefault="000C0B67" w:rsidP="00B110AB">
            <w:pPr>
              <w:jc w:val="center"/>
              <w:rPr>
                <w:rFonts w:ascii="Times New Roman" w:hAnsi="Times New Roman" w:cs="Times New Roman"/>
                <w:sz w:val="24"/>
                <w:szCs w:val="24"/>
              </w:rPr>
            </w:pPr>
            <w:r w:rsidRPr="00BD6C2F">
              <w:rPr>
                <w:rFonts w:ascii="Times New Roman" w:hAnsi="Times New Roman"/>
                <w:sz w:val="24"/>
                <w:szCs w:val="24"/>
              </w:rPr>
              <w:t>72 000</w:t>
            </w:r>
          </w:p>
        </w:tc>
        <w:tc>
          <w:tcPr>
            <w:tcW w:w="1758" w:type="dxa"/>
            <w:shd w:val="clear" w:color="000000" w:fill="FFFFFF"/>
            <w:noWrap/>
          </w:tcPr>
          <w:p w:rsidR="000C0B67" w:rsidRPr="00BD6C2F" w:rsidRDefault="000C0B67" w:rsidP="00B110AB">
            <w:pPr>
              <w:pStyle w:val="a5"/>
              <w:jc w:val="center"/>
              <w:rPr>
                <w:rFonts w:ascii="Times New Roman" w:hAnsi="Times New Roman"/>
                <w:sz w:val="24"/>
                <w:szCs w:val="24"/>
                <w:lang w:eastAsia="en-US"/>
              </w:rPr>
            </w:pPr>
          </w:p>
          <w:p w:rsidR="000C0B67" w:rsidRPr="00BD6C2F" w:rsidRDefault="000C0B67" w:rsidP="00B110AB">
            <w:pPr>
              <w:pStyle w:val="a5"/>
              <w:jc w:val="center"/>
              <w:rPr>
                <w:rFonts w:ascii="Times New Roman" w:hAnsi="Times New Roman"/>
                <w:sz w:val="24"/>
                <w:szCs w:val="24"/>
                <w:lang w:eastAsia="en-US"/>
              </w:rPr>
            </w:pPr>
          </w:p>
          <w:p w:rsidR="000C0B67" w:rsidRPr="00BD6C2F" w:rsidRDefault="000C0B67" w:rsidP="00B110AB">
            <w:pPr>
              <w:pStyle w:val="a5"/>
              <w:jc w:val="center"/>
              <w:rPr>
                <w:rFonts w:ascii="Times New Roman" w:hAnsi="Times New Roman"/>
                <w:sz w:val="24"/>
                <w:szCs w:val="24"/>
                <w:lang w:eastAsia="en-US"/>
              </w:rPr>
            </w:pPr>
          </w:p>
          <w:p w:rsidR="000C0B67" w:rsidRPr="00BD6C2F" w:rsidRDefault="000C0B67" w:rsidP="00B110AB">
            <w:pPr>
              <w:pStyle w:val="a5"/>
              <w:jc w:val="center"/>
              <w:rPr>
                <w:rFonts w:ascii="Times New Roman" w:hAnsi="Times New Roman"/>
                <w:sz w:val="24"/>
                <w:szCs w:val="24"/>
                <w:lang w:eastAsia="en-US"/>
              </w:rPr>
            </w:pPr>
          </w:p>
          <w:p w:rsidR="000C0B67" w:rsidRPr="00BD6C2F" w:rsidRDefault="000C0B67" w:rsidP="00B110AB">
            <w:pPr>
              <w:pStyle w:val="a5"/>
              <w:jc w:val="center"/>
              <w:rPr>
                <w:rFonts w:ascii="Times New Roman" w:hAnsi="Times New Roman"/>
                <w:sz w:val="24"/>
                <w:szCs w:val="24"/>
                <w:lang w:eastAsia="en-US"/>
              </w:rPr>
            </w:pPr>
          </w:p>
          <w:p w:rsidR="000C0B67" w:rsidRPr="00BD6C2F" w:rsidRDefault="000C0B67" w:rsidP="00B110AB">
            <w:pPr>
              <w:jc w:val="center"/>
              <w:rPr>
                <w:rFonts w:ascii="Times New Roman" w:hAnsi="Times New Roman" w:cs="Times New Roman"/>
                <w:sz w:val="24"/>
                <w:szCs w:val="24"/>
              </w:rPr>
            </w:pPr>
            <w:r w:rsidRPr="00BD6C2F">
              <w:rPr>
                <w:rFonts w:ascii="Times New Roman" w:hAnsi="Times New Roman"/>
                <w:sz w:val="24"/>
                <w:szCs w:val="24"/>
              </w:rPr>
              <w:t>360 000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color w:val="000000"/>
                <w:sz w:val="24"/>
                <w:szCs w:val="24"/>
              </w:rPr>
              <w:t>35</w:t>
            </w:r>
          </w:p>
        </w:tc>
        <w:tc>
          <w:tcPr>
            <w:tcW w:w="2156" w:type="dxa"/>
            <w:shd w:val="clear" w:color="000000" w:fill="FFFFFF"/>
          </w:tcPr>
          <w:p w:rsidR="000C0B67" w:rsidRPr="00BD6C2F" w:rsidRDefault="000C0B67" w:rsidP="00B110AB">
            <w:pPr>
              <w:spacing w:after="0"/>
              <w:rPr>
                <w:rFonts w:ascii="Times New Roman" w:hAnsi="Times New Roman"/>
                <w:sz w:val="24"/>
                <w:szCs w:val="24"/>
              </w:rPr>
            </w:pPr>
          </w:p>
          <w:p w:rsidR="000C0B67" w:rsidRPr="00BD6C2F" w:rsidRDefault="000C0B67" w:rsidP="00B110AB">
            <w:pPr>
              <w:spacing w:after="0"/>
              <w:rPr>
                <w:rFonts w:ascii="Times New Roman" w:hAnsi="Times New Roman"/>
                <w:sz w:val="24"/>
                <w:szCs w:val="24"/>
              </w:rPr>
            </w:pPr>
          </w:p>
          <w:p w:rsidR="000C0B67" w:rsidRPr="00BD6C2F" w:rsidRDefault="000C0B67" w:rsidP="00B110AB">
            <w:pPr>
              <w:spacing w:after="0"/>
              <w:rPr>
                <w:rFonts w:ascii="Times New Roman" w:hAnsi="Times New Roman"/>
                <w:sz w:val="24"/>
                <w:szCs w:val="24"/>
              </w:rPr>
            </w:pPr>
          </w:p>
          <w:p w:rsidR="000C0B67" w:rsidRPr="00BD6C2F" w:rsidRDefault="000C0B67" w:rsidP="00B110AB">
            <w:pPr>
              <w:spacing w:after="0"/>
              <w:rPr>
                <w:rFonts w:ascii="Times New Roman" w:hAnsi="Times New Roman"/>
                <w:sz w:val="24"/>
                <w:szCs w:val="24"/>
              </w:rPr>
            </w:pPr>
          </w:p>
          <w:p w:rsidR="000C0B67" w:rsidRPr="00BD6C2F" w:rsidRDefault="000C0B67" w:rsidP="00B110AB">
            <w:pPr>
              <w:spacing w:after="0"/>
              <w:rPr>
                <w:rFonts w:ascii="Times New Roman" w:hAnsi="Times New Roman"/>
                <w:sz w:val="24"/>
                <w:szCs w:val="24"/>
              </w:rPr>
            </w:pPr>
          </w:p>
          <w:p w:rsidR="000C0B67" w:rsidRPr="00BD6C2F" w:rsidRDefault="000C0B67" w:rsidP="00B110AB">
            <w:pPr>
              <w:spacing w:after="0"/>
              <w:rPr>
                <w:rFonts w:ascii="Times New Roman" w:hAnsi="Times New Roman"/>
                <w:sz w:val="24"/>
                <w:szCs w:val="24"/>
              </w:rPr>
            </w:pPr>
          </w:p>
          <w:p w:rsidR="000C0B67" w:rsidRPr="00BD6C2F" w:rsidRDefault="000C0B67" w:rsidP="00B110AB">
            <w:pPr>
              <w:spacing w:after="0"/>
              <w:rPr>
                <w:rFonts w:ascii="Times New Roman" w:hAnsi="Times New Roman"/>
                <w:sz w:val="24"/>
                <w:szCs w:val="24"/>
              </w:rPr>
            </w:pPr>
            <w:r w:rsidRPr="00BD6C2F">
              <w:rPr>
                <w:rFonts w:ascii="Times New Roman" w:hAnsi="Times New Roman"/>
                <w:sz w:val="24"/>
                <w:szCs w:val="24"/>
              </w:rPr>
              <w:t>Фибриноген</w:t>
            </w:r>
          </w:p>
          <w:p w:rsidR="000C0B67" w:rsidRPr="00BD6C2F" w:rsidRDefault="000C0B67" w:rsidP="00B110AB">
            <w:pPr>
              <w:spacing w:after="0"/>
              <w:rPr>
                <w:rFonts w:ascii="Times New Roman" w:hAnsi="Times New Roman" w:cs="Times New Roman"/>
                <w:sz w:val="24"/>
                <w:szCs w:val="24"/>
                <w:lang w:val="en-US"/>
              </w:rPr>
            </w:pPr>
            <w:r w:rsidRPr="00BD6C2F">
              <w:rPr>
                <w:rFonts w:ascii="Times New Roman" w:hAnsi="Times New Roman" w:cs="Times New Roman"/>
                <w:sz w:val="24"/>
                <w:szCs w:val="24"/>
                <w:lang w:val="en-US"/>
              </w:rPr>
              <w:lastRenderedPageBreak/>
              <w:t xml:space="preserve">(12x3 </w:t>
            </w:r>
            <w:r w:rsidRPr="00BD6C2F">
              <w:rPr>
                <w:rFonts w:ascii="Times New Roman" w:hAnsi="Times New Roman" w:cs="Times New Roman"/>
                <w:sz w:val="24"/>
                <w:szCs w:val="24"/>
              </w:rPr>
              <w:t>мл</w:t>
            </w:r>
            <w:r w:rsidRPr="00BD6C2F">
              <w:rPr>
                <w:rFonts w:ascii="Times New Roman" w:hAnsi="Times New Roman" w:cs="Times New Roman"/>
                <w:sz w:val="24"/>
                <w:szCs w:val="24"/>
                <w:lang w:val="en-US"/>
              </w:rPr>
              <w:t>)</w:t>
            </w:r>
          </w:p>
        </w:tc>
        <w:tc>
          <w:tcPr>
            <w:tcW w:w="6095" w:type="dxa"/>
            <w:shd w:val="clear" w:color="000000" w:fill="FFFFFF"/>
          </w:tcPr>
          <w:p w:rsidR="000C0B67" w:rsidRPr="00BD6C2F" w:rsidRDefault="000C0B67" w:rsidP="00B110AB">
            <w:pPr>
              <w:spacing w:after="0"/>
              <w:rPr>
                <w:rFonts w:ascii="Times New Roman" w:hAnsi="Times New Roman" w:cs="Times New Roman"/>
                <w:sz w:val="24"/>
                <w:szCs w:val="24"/>
              </w:rPr>
            </w:pPr>
            <w:r w:rsidRPr="00BD6C2F">
              <w:rPr>
                <w:rFonts w:ascii="Times New Roman" w:hAnsi="Times New Roman"/>
                <w:sz w:val="24"/>
                <w:szCs w:val="24"/>
              </w:rPr>
              <w:lastRenderedPageBreak/>
              <w:t>Реагент фибриноген 12*3мл Фибриноген является конечным плазменным белком коагуляционного каскада. Его присутствие и интактная функция имеют жизненно важное значение для нормального свертывания крови.</w:t>
            </w:r>
            <w:r w:rsidRPr="00BD6C2F">
              <w:rPr>
                <w:rFonts w:ascii="Times New Roman" w:hAnsi="Times New Roman"/>
                <w:sz w:val="24"/>
                <w:szCs w:val="24"/>
              </w:rPr>
              <w:br/>
              <w:t xml:space="preserve">Фибриноген, продуцируемый в печени, содержит три пары белковых цепей. Эта растворимая молекула </w:t>
            </w:r>
            <w:r w:rsidRPr="00BD6C2F">
              <w:rPr>
                <w:rFonts w:ascii="Times New Roman" w:hAnsi="Times New Roman"/>
                <w:sz w:val="24"/>
                <w:szCs w:val="24"/>
              </w:rPr>
              <w:lastRenderedPageBreak/>
              <w:t>фибриногена расщепляется тромбином до мономеров фибрина. Образованные фибриновые мономеры составляют фибриновые волокна, а затем нерастворимую фибриновую сетку, которая стабилизируется фактором XIII ПРИНЦИП Метод по Клауссу измеряет время свертывания после добавления высокой концентрации тромбина в разбавленную плазму. Концентрация фибриногена в плазме обратно пропорциональна времени свертывания.</w:t>
            </w:r>
            <w:r w:rsidRPr="00BD6C2F">
              <w:rPr>
                <w:rFonts w:ascii="Times New Roman" w:hAnsi="Times New Roman"/>
                <w:sz w:val="24"/>
                <w:szCs w:val="24"/>
              </w:rPr>
              <w:br/>
              <w:t>для автоматического коагулометра Yumizen G400</w:t>
            </w:r>
          </w:p>
        </w:tc>
        <w:tc>
          <w:tcPr>
            <w:tcW w:w="1276" w:type="dxa"/>
            <w:shd w:val="clear" w:color="000000" w:fill="FFFFFF"/>
          </w:tcPr>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cs="Times New Roman"/>
                <w:sz w:val="24"/>
                <w:szCs w:val="24"/>
              </w:rPr>
            </w:pPr>
            <w:r w:rsidRPr="00BD6C2F">
              <w:rPr>
                <w:rFonts w:ascii="Times New Roman" w:hAnsi="Times New Roman"/>
                <w:sz w:val="24"/>
                <w:szCs w:val="24"/>
              </w:rPr>
              <w:lastRenderedPageBreak/>
              <w:t>набор</w:t>
            </w:r>
          </w:p>
        </w:tc>
        <w:tc>
          <w:tcPr>
            <w:tcW w:w="992" w:type="dxa"/>
            <w:shd w:val="clear" w:color="000000" w:fill="FFFFFF"/>
            <w:noWrap/>
          </w:tcPr>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cs="Times New Roman"/>
                <w:sz w:val="24"/>
                <w:szCs w:val="24"/>
              </w:rPr>
            </w:pPr>
            <w:r w:rsidRPr="00BD6C2F">
              <w:rPr>
                <w:rFonts w:ascii="Times New Roman" w:hAnsi="Times New Roman"/>
                <w:sz w:val="24"/>
                <w:szCs w:val="24"/>
              </w:rPr>
              <w:lastRenderedPageBreak/>
              <w:t>4</w:t>
            </w:r>
          </w:p>
        </w:tc>
        <w:tc>
          <w:tcPr>
            <w:tcW w:w="1417" w:type="dxa"/>
            <w:shd w:val="clear" w:color="000000" w:fill="FFFFFF"/>
            <w:noWrap/>
          </w:tcPr>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cs="Times New Roman"/>
                <w:sz w:val="24"/>
                <w:szCs w:val="24"/>
              </w:rPr>
            </w:pPr>
            <w:r w:rsidRPr="00BD6C2F">
              <w:rPr>
                <w:rFonts w:ascii="Times New Roman" w:hAnsi="Times New Roman"/>
                <w:sz w:val="24"/>
                <w:szCs w:val="24"/>
              </w:rPr>
              <w:lastRenderedPageBreak/>
              <w:t>125 500</w:t>
            </w:r>
          </w:p>
        </w:tc>
        <w:tc>
          <w:tcPr>
            <w:tcW w:w="1758" w:type="dxa"/>
            <w:shd w:val="clear" w:color="000000" w:fill="FFFFFF"/>
            <w:noWrap/>
          </w:tcPr>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cs="Times New Roman"/>
                <w:sz w:val="24"/>
                <w:szCs w:val="24"/>
              </w:rPr>
            </w:pPr>
            <w:r w:rsidRPr="00BD6C2F">
              <w:rPr>
                <w:rFonts w:ascii="Times New Roman" w:hAnsi="Times New Roman"/>
                <w:sz w:val="24"/>
                <w:szCs w:val="24"/>
              </w:rPr>
              <w:lastRenderedPageBreak/>
              <w:t>502 000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color w:val="000000"/>
                <w:sz w:val="24"/>
                <w:szCs w:val="24"/>
              </w:rPr>
              <w:lastRenderedPageBreak/>
              <w:t>36</w:t>
            </w:r>
          </w:p>
        </w:tc>
        <w:tc>
          <w:tcPr>
            <w:tcW w:w="2156" w:type="dxa"/>
            <w:shd w:val="clear" w:color="000000" w:fill="FFFFFF"/>
          </w:tcPr>
          <w:p w:rsidR="000C0B67" w:rsidRPr="00BD6C2F" w:rsidRDefault="000C0B67" w:rsidP="00B110AB">
            <w:pPr>
              <w:spacing w:after="0"/>
              <w:rPr>
                <w:rFonts w:ascii="Times New Roman" w:hAnsi="Times New Roman"/>
                <w:sz w:val="24"/>
                <w:szCs w:val="24"/>
              </w:rPr>
            </w:pPr>
          </w:p>
          <w:p w:rsidR="000C0B67" w:rsidRPr="00BD6C2F" w:rsidRDefault="000C0B67" w:rsidP="00B110AB">
            <w:pPr>
              <w:spacing w:after="0"/>
              <w:rPr>
                <w:rFonts w:ascii="Times New Roman" w:hAnsi="Times New Roman"/>
                <w:sz w:val="24"/>
                <w:szCs w:val="24"/>
              </w:rPr>
            </w:pPr>
          </w:p>
          <w:p w:rsidR="000C0B67" w:rsidRPr="00BD6C2F" w:rsidRDefault="000C0B67" w:rsidP="00B110AB">
            <w:pPr>
              <w:spacing w:after="0"/>
              <w:rPr>
                <w:rFonts w:ascii="Times New Roman" w:hAnsi="Times New Roman"/>
                <w:sz w:val="24"/>
                <w:szCs w:val="24"/>
              </w:rPr>
            </w:pPr>
          </w:p>
          <w:p w:rsidR="000C0B67" w:rsidRPr="00BD6C2F" w:rsidRDefault="000C0B67" w:rsidP="00B110AB">
            <w:pPr>
              <w:spacing w:after="0"/>
              <w:rPr>
                <w:rFonts w:ascii="Times New Roman" w:hAnsi="Times New Roman"/>
                <w:sz w:val="24"/>
                <w:szCs w:val="24"/>
              </w:rPr>
            </w:pPr>
            <w:r w:rsidRPr="00BD6C2F">
              <w:rPr>
                <w:rFonts w:ascii="Times New Roman" w:hAnsi="Times New Roman"/>
                <w:sz w:val="24"/>
                <w:szCs w:val="24"/>
              </w:rPr>
              <w:t>Имидазол</w:t>
            </w:r>
          </w:p>
          <w:p w:rsidR="000C0B67" w:rsidRPr="00BD6C2F" w:rsidRDefault="000C0B67" w:rsidP="00B110AB">
            <w:pPr>
              <w:spacing w:after="0"/>
              <w:rPr>
                <w:rFonts w:ascii="Times New Roman" w:hAnsi="Times New Roman"/>
                <w:sz w:val="24"/>
                <w:szCs w:val="24"/>
                <w:lang w:val="en-US"/>
              </w:rPr>
            </w:pPr>
            <w:r w:rsidRPr="00BD6C2F">
              <w:rPr>
                <w:rFonts w:ascii="Times New Roman" w:hAnsi="Times New Roman"/>
                <w:sz w:val="24"/>
                <w:szCs w:val="24"/>
                <w:lang w:val="en-US"/>
              </w:rPr>
              <w:t xml:space="preserve">(12x15 </w:t>
            </w:r>
            <w:r w:rsidRPr="00BD6C2F">
              <w:rPr>
                <w:rFonts w:ascii="Times New Roman" w:hAnsi="Times New Roman"/>
                <w:sz w:val="24"/>
                <w:szCs w:val="24"/>
              </w:rPr>
              <w:t>мл</w:t>
            </w:r>
            <w:r w:rsidRPr="00BD6C2F">
              <w:rPr>
                <w:rFonts w:ascii="Times New Roman" w:hAnsi="Times New Roman"/>
                <w:sz w:val="24"/>
                <w:szCs w:val="24"/>
                <w:lang w:val="en-US"/>
              </w:rPr>
              <w:t>)</w:t>
            </w:r>
          </w:p>
        </w:tc>
        <w:tc>
          <w:tcPr>
            <w:tcW w:w="6095" w:type="dxa"/>
            <w:shd w:val="clear" w:color="000000" w:fill="FFFFFF"/>
          </w:tcPr>
          <w:p w:rsidR="000C0B67" w:rsidRPr="00BD6C2F" w:rsidRDefault="000C0B67" w:rsidP="00B110AB">
            <w:pPr>
              <w:spacing w:after="0"/>
              <w:rPr>
                <w:rFonts w:ascii="Times New Roman" w:hAnsi="Times New Roman"/>
                <w:sz w:val="24"/>
                <w:szCs w:val="24"/>
              </w:rPr>
            </w:pPr>
            <w:r w:rsidRPr="00BD6C2F">
              <w:rPr>
                <w:rFonts w:ascii="Times New Roman" w:hAnsi="Times New Roman"/>
                <w:sz w:val="24"/>
                <w:szCs w:val="24"/>
              </w:rPr>
              <w:t>Реагент только в целях применения для диагностики in Vitro (в лабораторных условиях)</w:t>
            </w:r>
            <w:r w:rsidRPr="00BD6C2F">
              <w:rPr>
                <w:rFonts w:ascii="Times New Roman" w:hAnsi="Times New Roman"/>
                <w:sz w:val="24"/>
                <w:szCs w:val="24"/>
                <w:lang w:val="kk-KZ"/>
              </w:rPr>
              <w:t>.</w:t>
            </w:r>
            <w:r w:rsidRPr="00BD6C2F">
              <w:rPr>
                <w:rFonts w:ascii="Times New Roman" w:hAnsi="Times New Roman"/>
                <w:sz w:val="24"/>
                <w:szCs w:val="24"/>
              </w:rPr>
              <w:t xml:space="preserve"> Имидазол</w:t>
            </w:r>
            <w:r w:rsidRPr="00BD6C2F">
              <w:rPr>
                <w:rFonts w:ascii="Times New Roman" w:hAnsi="Times New Roman"/>
                <w:sz w:val="24"/>
                <w:szCs w:val="24"/>
                <w:lang w:val="kk-KZ"/>
              </w:rPr>
              <w:t xml:space="preserve"> </w:t>
            </w:r>
            <w:r w:rsidRPr="00BD6C2F">
              <w:rPr>
                <w:rFonts w:ascii="Times New Roman" w:hAnsi="Times New Roman"/>
                <w:sz w:val="24"/>
                <w:szCs w:val="24"/>
              </w:rPr>
              <w:t>предназначен для разведения образцов и контроля для анализа на фибриноген. А</w:t>
            </w:r>
            <w:r w:rsidRPr="00BD6C2F">
              <w:rPr>
                <w:rFonts w:ascii="Times New Roman" w:hAnsi="Times New Roman"/>
                <w:sz w:val="24"/>
                <w:szCs w:val="24"/>
                <w:lang w:val="kk-KZ"/>
              </w:rPr>
              <w:t>ктивные вещества</w:t>
            </w:r>
            <w:r w:rsidRPr="00BD6C2F">
              <w:rPr>
                <w:rFonts w:ascii="Times New Roman" w:hAnsi="Times New Roman"/>
                <w:sz w:val="24"/>
                <w:szCs w:val="24"/>
              </w:rPr>
              <w:t>:</w:t>
            </w:r>
          </w:p>
          <w:p w:rsidR="000C0B67" w:rsidRPr="00BD6C2F" w:rsidRDefault="000C0B67" w:rsidP="00B110AB">
            <w:pPr>
              <w:spacing w:after="0"/>
              <w:rPr>
                <w:rFonts w:ascii="Times New Roman" w:hAnsi="Times New Roman"/>
                <w:sz w:val="24"/>
                <w:szCs w:val="24"/>
              </w:rPr>
            </w:pPr>
            <w:r w:rsidRPr="00BD6C2F">
              <w:rPr>
                <w:rFonts w:ascii="Times New Roman" w:hAnsi="Times New Roman"/>
                <w:sz w:val="24"/>
                <w:szCs w:val="24"/>
              </w:rPr>
              <w:t>буферный раствор со стабилизатором. Раствор в неповрежденном флаконе стабилен до истечения срока годности, указанного на флаконе, при хранении при 2-8°C. для автоматического коагулометра Yumizen G400</w:t>
            </w:r>
          </w:p>
        </w:tc>
        <w:tc>
          <w:tcPr>
            <w:tcW w:w="1276" w:type="dxa"/>
            <w:shd w:val="clear" w:color="000000" w:fill="FFFFFF"/>
          </w:tcPr>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r w:rsidRPr="00BD6C2F">
              <w:rPr>
                <w:rFonts w:ascii="Times New Roman" w:hAnsi="Times New Roman"/>
                <w:sz w:val="24"/>
                <w:szCs w:val="24"/>
              </w:rPr>
              <w:t>набор</w:t>
            </w:r>
          </w:p>
        </w:tc>
        <w:tc>
          <w:tcPr>
            <w:tcW w:w="992" w:type="dxa"/>
            <w:shd w:val="clear" w:color="000000" w:fill="FFFFFF"/>
            <w:noWrap/>
          </w:tcPr>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r w:rsidRPr="00BD6C2F">
              <w:rPr>
                <w:rFonts w:ascii="Times New Roman" w:hAnsi="Times New Roman"/>
                <w:sz w:val="24"/>
                <w:szCs w:val="24"/>
              </w:rPr>
              <w:t>5</w:t>
            </w:r>
          </w:p>
        </w:tc>
        <w:tc>
          <w:tcPr>
            <w:tcW w:w="1417" w:type="dxa"/>
            <w:shd w:val="clear" w:color="000000" w:fill="FFFFFF"/>
            <w:noWrap/>
          </w:tcPr>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r w:rsidRPr="00BD6C2F">
              <w:rPr>
                <w:rFonts w:ascii="Times New Roman" w:hAnsi="Times New Roman"/>
                <w:sz w:val="24"/>
                <w:szCs w:val="24"/>
              </w:rPr>
              <w:t>34 000</w:t>
            </w:r>
          </w:p>
        </w:tc>
        <w:tc>
          <w:tcPr>
            <w:tcW w:w="1758" w:type="dxa"/>
            <w:shd w:val="clear" w:color="000000" w:fill="FFFFFF"/>
            <w:noWrap/>
          </w:tcPr>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r w:rsidRPr="00BD6C2F">
              <w:rPr>
                <w:rFonts w:ascii="Times New Roman" w:hAnsi="Times New Roman"/>
                <w:sz w:val="24"/>
                <w:szCs w:val="24"/>
              </w:rPr>
              <w:t>170 000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color w:val="000000"/>
                <w:sz w:val="24"/>
                <w:szCs w:val="24"/>
              </w:rPr>
              <w:t>37</w:t>
            </w:r>
          </w:p>
        </w:tc>
        <w:tc>
          <w:tcPr>
            <w:tcW w:w="2156" w:type="dxa"/>
            <w:shd w:val="clear" w:color="000000" w:fill="FFFFFF"/>
          </w:tcPr>
          <w:p w:rsidR="000C0B67" w:rsidRPr="00BD6C2F" w:rsidRDefault="000C0B67" w:rsidP="00B110AB">
            <w:pPr>
              <w:spacing w:after="0"/>
              <w:rPr>
                <w:rFonts w:ascii="Times New Roman" w:hAnsi="Times New Roman"/>
                <w:sz w:val="24"/>
                <w:szCs w:val="24"/>
              </w:rPr>
            </w:pPr>
          </w:p>
          <w:p w:rsidR="000C0B67" w:rsidRPr="00BD6C2F" w:rsidRDefault="000C0B67" w:rsidP="00B110AB">
            <w:pPr>
              <w:spacing w:after="0"/>
              <w:rPr>
                <w:rFonts w:ascii="Times New Roman" w:hAnsi="Times New Roman"/>
                <w:sz w:val="24"/>
                <w:szCs w:val="24"/>
              </w:rPr>
            </w:pPr>
          </w:p>
          <w:p w:rsidR="000C0B67" w:rsidRPr="00BD6C2F" w:rsidRDefault="000C0B67" w:rsidP="00B110AB">
            <w:pPr>
              <w:spacing w:after="0"/>
              <w:rPr>
                <w:rFonts w:ascii="Times New Roman" w:hAnsi="Times New Roman"/>
                <w:sz w:val="24"/>
                <w:szCs w:val="24"/>
              </w:rPr>
            </w:pPr>
          </w:p>
          <w:p w:rsidR="000C0B67" w:rsidRPr="00BD6C2F" w:rsidRDefault="000C0B67" w:rsidP="00B110AB">
            <w:pPr>
              <w:spacing w:after="0"/>
              <w:rPr>
                <w:rFonts w:ascii="Times New Roman" w:hAnsi="Times New Roman"/>
                <w:sz w:val="24"/>
                <w:szCs w:val="24"/>
              </w:rPr>
            </w:pPr>
          </w:p>
          <w:p w:rsidR="000C0B67" w:rsidRPr="00BD6C2F" w:rsidRDefault="000C0B67" w:rsidP="00B110AB">
            <w:pPr>
              <w:spacing w:after="0"/>
              <w:rPr>
                <w:rFonts w:ascii="Times New Roman" w:hAnsi="Times New Roman"/>
                <w:sz w:val="24"/>
                <w:szCs w:val="24"/>
              </w:rPr>
            </w:pPr>
            <w:r w:rsidRPr="00BD6C2F">
              <w:rPr>
                <w:rFonts w:ascii="Times New Roman" w:hAnsi="Times New Roman"/>
                <w:sz w:val="24"/>
                <w:szCs w:val="24"/>
              </w:rPr>
              <w:t>Контроль Д димер</w:t>
            </w:r>
          </w:p>
          <w:p w:rsidR="000C0B67" w:rsidRPr="00BD6C2F" w:rsidRDefault="000C0B67" w:rsidP="00B110AB">
            <w:pPr>
              <w:spacing w:after="0"/>
              <w:rPr>
                <w:rFonts w:ascii="Times New Roman" w:hAnsi="Times New Roman"/>
                <w:sz w:val="24"/>
                <w:szCs w:val="24"/>
              </w:rPr>
            </w:pPr>
            <w:r w:rsidRPr="00BD6C2F">
              <w:rPr>
                <w:rFonts w:ascii="Times New Roman" w:hAnsi="Times New Roman"/>
                <w:sz w:val="24"/>
                <w:szCs w:val="24"/>
              </w:rPr>
              <w:t xml:space="preserve">(3*2.5 мл) </w:t>
            </w:r>
          </w:p>
        </w:tc>
        <w:tc>
          <w:tcPr>
            <w:tcW w:w="6095" w:type="dxa"/>
            <w:shd w:val="clear" w:color="000000" w:fill="FFFFFF"/>
          </w:tcPr>
          <w:p w:rsidR="000C0B67" w:rsidRPr="00BD6C2F" w:rsidRDefault="000C0B67" w:rsidP="00B110AB">
            <w:pPr>
              <w:spacing w:after="0"/>
              <w:rPr>
                <w:rFonts w:ascii="Times New Roman" w:hAnsi="Times New Roman"/>
                <w:sz w:val="24"/>
                <w:szCs w:val="24"/>
              </w:rPr>
            </w:pPr>
            <w:r w:rsidRPr="00BD6C2F">
              <w:rPr>
                <w:rFonts w:ascii="Times New Roman" w:hAnsi="Times New Roman"/>
                <w:sz w:val="24"/>
                <w:szCs w:val="24"/>
              </w:rPr>
              <w:t>Контроль (только в целях применения для диагностики in Vitro (в лабораторных условиях). Двухуровневые регуляторы D-димера предназначены для контроля измерений теста Регуляторы предназначены для внутреннего контроля качества теста они являются инструментом и особым регулятором серии. Диапазоны регулятора указаны в таблице значений для данных реагентов. Регуляторы вытекают из человеческой, антикоагулированной, лиофилизированной, обобщённой человеческой плазмы от здоровых доноров с консервантом. содержит антиген D-димера из плазмы крови человека с ферментативным расщеплением. Регуляторы представляют два разных диапазона измерения. для автоматического коагулометра Yumizen G400</w:t>
            </w:r>
          </w:p>
        </w:tc>
        <w:tc>
          <w:tcPr>
            <w:tcW w:w="1276" w:type="dxa"/>
            <w:shd w:val="clear" w:color="000000" w:fill="FFFFFF"/>
          </w:tcPr>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r w:rsidRPr="00BD6C2F">
              <w:rPr>
                <w:rFonts w:ascii="Times New Roman" w:hAnsi="Times New Roman"/>
                <w:sz w:val="24"/>
                <w:szCs w:val="24"/>
              </w:rPr>
              <w:t>набор</w:t>
            </w:r>
          </w:p>
        </w:tc>
        <w:tc>
          <w:tcPr>
            <w:tcW w:w="992" w:type="dxa"/>
            <w:shd w:val="clear" w:color="000000" w:fill="FFFFFF"/>
            <w:noWrap/>
          </w:tcPr>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r w:rsidRPr="00BD6C2F">
              <w:rPr>
                <w:rFonts w:ascii="Times New Roman" w:hAnsi="Times New Roman"/>
                <w:sz w:val="24"/>
                <w:szCs w:val="24"/>
              </w:rPr>
              <w:t>12</w:t>
            </w:r>
          </w:p>
        </w:tc>
        <w:tc>
          <w:tcPr>
            <w:tcW w:w="1417" w:type="dxa"/>
            <w:shd w:val="clear" w:color="000000" w:fill="FFFFFF"/>
            <w:noWrap/>
          </w:tcPr>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r w:rsidRPr="00BD6C2F">
              <w:rPr>
                <w:rFonts w:ascii="Times New Roman" w:hAnsi="Times New Roman"/>
                <w:sz w:val="24"/>
                <w:szCs w:val="24"/>
              </w:rPr>
              <w:t>175 000</w:t>
            </w:r>
          </w:p>
        </w:tc>
        <w:tc>
          <w:tcPr>
            <w:tcW w:w="1758" w:type="dxa"/>
            <w:shd w:val="clear" w:color="000000" w:fill="FFFFFF"/>
            <w:noWrap/>
          </w:tcPr>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p>
          <w:p w:rsidR="000C0B67" w:rsidRPr="00BD6C2F" w:rsidRDefault="000C0B67" w:rsidP="00B110AB">
            <w:pPr>
              <w:jc w:val="center"/>
              <w:rPr>
                <w:rFonts w:ascii="Times New Roman" w:hAnsi="Times New Roman"/>
                <w:sz w:val="24"/>
                <w:szCs w:val="24"/>
              </w:rPr>
            </w:pPr>
            <w:r w:rsidRPr="00BD6C2F">
              <w:rPr>
                <w:rFonts w:ascii="Times New Roman" w:hAnsi="Times New Roman"/>
                <w:sz w:val="24"/>
                <w:szCs w:val="24"/>
              </w:rPr>
              <w:t>2 100 000</w:t>
            </w:r>
          </w:p>
        </w:tc>
      </w:tr>
      <w:tr w:rsidR="000C0B67" w:rsidRPr="003878FD" w:rsidTr="00B110AB">
        <w:trPr>
          <w:trHeight w:val="510"/>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color w:val="000000"/>
                <w:sz w:val="24"/>
                <w:szCs w:val="24"/>
              </w:rPr>
              <w:lastRenderedPageBreak/>
              <w:t>38</w:t>
            </w:r>
          </w:p>
        </w:tc>
        <w:tc>
          <w:tcPr>
            <w:tcW w:w="2156" w:type="dxa"/>
            <w:shd w:val="clear" w:color="000000" w:fill="FFFFFF"/>
          </w:tcPr>
          <w:p w:rsidR="000C0B67" w:rsidRPr="00BD6C2F" w:rsidRDefault="000C0B67" w:rsidP="00B110AB">
            <w:pPr>
              <w:spacing w:after="0"/>
              <w:rPr>
                <w:rFonts w:ascii="Times New Roman" w:hAnsi="Times New Roman"/>
                <w:sz w:val="24"/>
                <w:szCs w:val="24"/>
              </w:rPr>
            </w:pPr>
            <w:r w:rsidRPr="00BD6C2F">
              <w:rPr>
                <w:rFonts w:ascii="Times New Roman" w:hAnsi="Times New Roman"/>
                <w:sz w:val="24"/>
                <w:szCs w:val="24"/>
              </w:rPr>
              <w:t>Контроль 5x1 мл (2x)</w:t>
            </w:r>
          </w:p>
        </w:tc>
        <w:tc>
          <w:tcPr>
            <w:tcW w:w="6095" w:type="dxa"/>
            <w:shd w:val="clear" w:color="000000" w:fill="FFFFFF"/>
          </w:tcPr>
          <w:p w:rsidR="000C0B67" w:rsidRPr="00BD6C2F" w:rsidRDefault="000C0B67" w:rsidP="00B110AB">
            <w:pPr>
              <w:spacing w:after="0"/>
              <w:rPr>
                <w:rFonts w:ascii="Times New Roman" w:hAnsi="Times New Roman"/>
                <w:sz w:val="24"/>
                <w:szCs w:val="24"/>
              </w:rPr>
            </w:pPr>
            <w:r w:rsidRPr="00BD6C2F">
              <w:rPr>
                <w:rFonts w:ascii="Times New Roman" w:hAnsi="Times New Roman"/>
                <w:sz w:val="24"/>
                <w:szCs w:val="24"/>
              </w:rPr>
              <w:t>Контроль коагулограммы для полуавтоматического коагулометра Yumizen G400</w:t>
            </w:r>
          </w:p>
        </w:tc>
        <w:tc>
          <w:tcPr>
            <w:tcW w:w="1276" w:type="dxa"/>
            <w:shd w:val="clear" w:color="000000" w:fill="FFFFFF"/>
          </w:tcPr>
          <w:p w:rsidR="000C0B67" w:rsidRPr="00BD6C2F" w:rsidRDefault="000C0B67" w:rsidP="00B110AB">
            <w:pPr>
              <w:jc w:val="center"/>
              <w:rPr>
                <w:rFonts w:ascii="Times New Roman" w:hAnsi="Times New Roman"/>
                <w:sz w:val="24"/>
                <w:szCs w:val="24"/>
              </w:rPr>
            </w:pPr>
            <w:r w:rsidRPr="00BD6C2F">
              <w:rPr>
                <w:rFonts w:ascii="Times New Roman" w:hAnsi="Times New Roman"/>
                <w:sz w:val="24"/>
                <w:szCs w:val="24"/>
              </w:rPr>
              <w:t>набор</w:t>
            </w:r>
          </w:p>
        </w:tc>
        <w:tc>
          <w:tcPr>
            <w:tcW w:w="992" w:type="dxa"/>
            <w:shd w:val="clear" w:color="000000" w:fill="FFFFFF"/>
            <w:noWrap/>
          </w:tcPr>
          <w:p w:rsidR="000C0B67" w:rsidRPr="00BD6C2F" w:rsidRDefault="000C0B67" w:rsidP="00B110AB">
            <w:pPr>
              <w:jc w:val="center"/>
              <w:rPr>
                <w:rFonts w:ascii="Times New Roman" w:hAnsi="Times New Roman"/>
                <w:sz w:val="24"/>
                <w:szCs w:val="24"/>
              </w:rPr>
            </w:pPr>
            <w:r w:rsidRPr="00BD6C2F">
              <w:rPr>
                <w:rFonts w:ascii="Times New Roman" w:hAnsi="Times New Roman"/>
                <w:sz w:val="24"/>
                <w:szCs w:val="24"/>
              </w:rPr>
              <w:t>6</w:t>
            </w:r>
          </w:p>
        </w:tc>
        <w:tc>
          <w:tcPr>
            <w:tcW w:w="1417" w:type="dxa"/>
            <w:shd w:val="clear" w:color="000000" w:fill="FFFFFF"/>
            <w:noWrap/>
          </w:tcPr>
          <w:p w:rsidR="000C0B67" w:rsidRPr="00BD6C2F" w:rsidRDefault="000C0B67" w:rsidP="00B110AB">
            <w:pPr>
              <w:jc w:val="center"/>
              <w:rPr>
                <w:rFonts w:ascii="Times New Roman" w:hAnsi="Times New Roman"/>
                <w:sz w:val="24"/>
                <w:szCs w:val="24"/>
              </w:rPr>
            </w:pPr>
            <w:r w:rsidRPr="00BD6C2F">
              <w:rPr>
                <w:rFonts w:ascii="Times New Roman" w:hAnsi="Times New Roman"/>
                <w:sz w:val="24"/>
                <w:szCs w:val="24"/>
              </w:rPr>
              <w:t>67 000</w:t>
            </w:r>
          </w:p>
        </w:tc>
        <w:tc>
          <w:tcPr>
            <w:tcW w:w="1758" w:type="dxa"/>
            <w:shd w:val="clear" w:color="000000" w:fill="FFFFFF"/>
            <w:noWrap/>
          </w:tcPr>
          <w:p w:rsidR="000C0B67" w:rsidRPr="00BD6C2F" w:rsidRDefault="000C0B67" w:rsidP="00B110AB">
            <w:pPr>
              <w:jc w:val="center"/>
              <w:rPr>
                <w:rFonts w:ascii="Times New Roman" w:hAnsi="Times New Roman"/>
                <w:sz w:val="24"/>
                <w:szCs w:val="24"/>
              </w:rPr>
            </w:pPr>
            <w:r w:rsidRPr="00BD6C2F">
              <w:rPr>
                <w:rFonts w:ascii="Times New Roman" w:hAnsi="Times New Roman"/>
                <w:sz w:val="24"/>
                <w:szCs w:val="24"/>
              </w:rPr>
              <w:t>402 000</w:t>
            </w:r>
          </w:p>
        </w:tc>
      </w:tr>
      <w:tr w:rsidR="000C0B67" w:rsidRPr="003878FD" w:rsidTr="00B110AB">
        <w:trPr>
          <w:trHeight w:val="92"/>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color w:val="000000"/>
                <w:sz w:val="24"/>
                <w:szCs w:val="24"/>
              </w:rPr>
              <w:t>39</w:t>
            </w:r>
          </w:p>
        </w:tc>
        <w:tc>
          <w:tcPr>
            <w:tcW w:w="2156" w:type="dxa"/>
            <w:shd w:val="clear" w:color="000000" w:fill="FFFFFF"/>
          </w:tcPr>
          <w:p w:rsidR="000C0B67" w:rsidRPr="00BD6C2F" w:rsidRDefault="000C0B67" w:rsidP="00B110AB">
            <w:pPr>
              <w:spacing w:after="0"/>
              <w:rPr>
                <w:rFonts w:ascii="Times New Roman" w:hAnsi="Times New Roman"/>
                <w:sz w:val="24"/>
                <w:szCs w:val="24"/>
              </w:rPr>
            </w:pPr>
            <w:r w:rsidRPr="00BD6C2F">
              <w:rPr>
                <w:rFonts w:ascii="Times New Roman" w:hAnsi="Times New Roman"/>
                <w:sz w:val="24"/>
                <w:szCs w:val="24"/>
              </w:rPr>
              <w:t>Кюветы (в упаковке 1000 шт.)</w:t>
            </w:r>
          </w:p>
        </w:tc>
        <w:tc>
          <w:tcPr>
            <w:tcW w:w="6095" w:type="dxa"/>
            <w:shd w:val="clear" w:color="000000" w:fill="FFFFFF"/>
          </w:tcPr>
          <w:p w:rsidR="000C0B67" w:rsidRPr="00BD6C2F" w:rsidRDefault="000C0B67" w:rsidP="00B110AB">
            <w:pPr>
              <w:spacing w:after="0"/>
              <w:rPr>
                <w:rFonts w:ascii="Times New Roman" w:hAnsi="Times New Roman"/>
                <w:sz w:val="24"/>
                <w:szCs w:val="24"/>
              </w:rPr>
            </w:pPr>
            <w:r w:rsidRPr="00BD6C2F">
              <w:rPr>
                <w:rFonts w:ascii="Times New Roman" w:hAnsi="Times New Roman"/>
                <w:sz w:val="24"/>
                <w:szCs w:val="24"/>
              </w:rPr>
              <w:t>Кюветы (в упаковке 1000 шт.) для полуавтоматического коагулометра Yumizen G400</w:t>
            </w:r>
          </w:p>
        </w:tc>
        <w:tc>
          <w:tcPr>
            <w:tcW w:w="1276" w:type="dxa"/>
            <w:shd w:val="clear" w:color="000000" w:fill="FFFFFF"/>
          </w:tcPr>
          <w:p w:rsidR="000C0B67" w:rsidRPr="00BD6C2F" w:rsidRDefault="000C0B67" w:rsidP="00B110AB">
            <w:pPr>
              <w:jc w:val="center"/>
              <w:rPr>
                <w:rFonts w:ascii="Times New Roman" w:hAnsi="Times New Roman"/>
                <w:sz w:val="24"/>
                <w:szCs w:val="24"/>
              </w:rPr>
            </w:pPr>
            <w:r w:rsidRPr="00BD6C2F">
              <w:rPr>
                <w:rFonts w:ascii="Times New Roman" w:hAnsi="Times New Roman"/>
                <w:sz w:val="24"/>
                <w:szCs w:val="24"/>
              </w:rPr>
              <w:t>упаковка</w:t>
            </w:r>
          </w:p>
        </w:tc>
        <w:tc>
          <w:tcPr>
            <w:tcW w:w="992" w:type="dxa"/>
            <w:shd w:val="clear" w:color="000000" w:fill="FFFFFF"/>
            <w:noWrap/>
          </w:tcPr>
          <w:p w:rsidR="000C0B67" w:rsidRPr="00BD6C2F" w:rsidRDefault="000C0B67" w:rsidP="00B110AB">
            <w:pPr>
              <w:jc w:val="center"/>
              <w:rPr>
                <w:rFonts w:ascii="Times New Roman" w:hAnsi="Times New Roman"/>
                <w:sz w:val="24"/>
                <w:szCs w:val="24"/>
              </w:rPr>
            </w:pPr>
            <w:r w:rsidRPr="00BD6C2F">
              <w:rPr>
                <w:rFonts w:ascii="Times New Roman" w:hAnsi="Times New Roman"/>
                <w:sz w:val="24"/>
                <w:szCs w:val="24"/>
              </w:rPr>
              <w:t>10</w:t>
            </w:r>
          </w:p>
        </w:tc>
        <w:tc>
          <w:tcPr>
            <w:tcW w:w="1417" w:type="dxa"/>
            <w:shd w:val="clear" w:color="000000" w:fill="FFFFFF"/>
            <w:noWrap/>
          </w:tcPr>
          <w:p w:rsidR="000C0B67" w:rsidRPr="00BD6C2F" w:rsidRDefault="000C0B67" w:rsidP="00B110AB">
            <w:pPr>
              <w:jc w:val="center"/>
              <w:rPr>
                <w:rFonts w:ascii="Times New Roman" w:hAnsi="Times New Roman"/>
                <w:sz w:val="24"/>
                <w:szCs w:val="24"/>
              </w:rPr>
            </w:pPr>
            <w:r w:rsidRPr="00BD6C2F">
              <w:rPr>
                <w:rFonts w:ascii="Times New Roman" w:hAnsi="Times New Roman"/>
                <w:sz w:val="24"/>
                <w:szCs w:val="24"/>
              </w:rPr>
              <w:t>117 500</w:t>
            </w:r>
          </w:p>
        </w:tc>
        <w:tc>
          <w:tcPr>
            <w:tcW w:w="1758" w:type="dxa"/>
            <w:shd w:val="clear" w:color="000000" w:fill="FFFFFF"/>
            <w:noWrap/>
          </w:tcPr>
          <w:p w:rsidR="000C0B67" w:rsidRPr="00BD6C2F" w:rsidRDefault="000C0B67" w:rsidP="00B110AB">
            <w:pPr>
              <w:jc w:val="center"/>
              <w:rPr>
                <w:rFonts w:ascii="Times New Roman" w:hAnsi="Times New Roman"/>
                <w:sz w:val="24"/>
                <w:szCs w:val="24"/>
              </w:rPr>
            </w:pPr>
            <w:r w:rsidRPr="00BD6C2F">
              <w:rPr>
                <w:rFonts w:ascii="Times New Roman" w:hAnsi="Times New Roman"/>
                <w:sz w:val="24"/>
                <w:szCs w:val="24"/>
              </w:rPr>
              <w:t>1 175 000</w:t>
            </w:r>
          </w:p>
        </w:tc>
      </w:tr>
      <w:tr w:rsidR="000C0B67" w:rsidRPr="003878FD" w:rsidTr="00B110AB">
        <w:trPr>
          <w:trHeight w:val="648"/>
          <w:jc w:val="center"/>
        </w:trPr>
        <w:tc>
          <w:tcPr>
            <w:tcW w:w="910" w:type="dxa"/>
            <w:shd w:val="clear" w:color="000000" w:fill="FFFFFF"/>
            <w:noWrap/>
            <w:vAlign w:val="center"/>
          </w:tcPr>
          <w:p w:rsidR="000C0B67" w:rsidRPr="00BD6C2F" w:rsidRDefault="000C0B67" w:rsidP="00B110AB">
            <w:pPr>
              <w:jc w:val="center"/>
              <w:rPr>
                <w:rFonts w:ascii="Times New Roman" w:hAnsi="Times New Roman" w:cs="Times New Roman"/>
                <w:color w:val="000000"/>
                <w:sz w:val="24"/>
                <w:szCs w:val="24"/>
              </w:rPr>
            </w:pPr>
            <w:r w:rsidRPr="00BD6C2F">
              <w:rPr>
                <w:rFonts w:ascii="Times New Roman" w:hAnsi="Times New Roman" w:cs="Times New Roman"/>
                <w:color w:val="000000"/>
                <w:sz w:val="24"/>
                <w:szCs w:val="24"/>
              </w:rPr>
              <w:t>40</w:t>
            </w:r>
          </w:p>
        </w:tc>
        <w:tc>
          <w:tcPr>
            <w:tcW w:w="2156" w:type="dxa"/>
            <w:shd w:val="clear" w:color="000000" w:fill="FFFFFF"/>
          </w:tcPr>
          <w:p w:rsidR="000C0B67" w:rsidRPr="00BD6C2F" w:rsidRDefault="000C0B67" w:rsidP="00B110AB">
            <w:pPr>
              <w:spacing w:after="0"/>
              <w:rPr>
                <w:rFonts w:ascii="Times New Roman" w:hAnsi="Times New Roman"/>
                <w:sz w:val="24"/>
                <w:szCs w:val="24"/>
              </w:rPr>
            </w:pPr>
            <w:r w:rsidRPr="00BD6C2F">
              <w:rPr>
                <w:rFonts w:ascii="Times New Roman" w:hAnsi="Times New Roman"/>
                <w:sz w:val="24"/>
                <w:szCs w:val="24"/>
              </w:rPr>
              <w:t xml:space="preserve">Магнитные мешалки </w:t>
            </w:r>
          </w:p>
        </w:tc>
        <w:tc>
          <w:tcPr>
            <w:tcW w:w="6095" w:type="dxa"/>
            <w:shd w:val="clear" w:color="000000" w:fill="FFFFFF"/>
          </w:tcPr>
          <w:p w:rsidR="000C0B67" w:rsidRPr="00BD6C2F" w:rsidRDefault="000C0B67" w:rsidP="00B110AB">
            <w:pPr>
              <w:spacing w:after="0"/>
              <w:rPr>
                <w:rFonts w:ascii="Times New Roman" w:hAnsi="Times New Roman"/>
                <w:sz w:val="24"/>
                <w:szCs w:val="24"/>
              </w:rPr>
            </w:pPr>
            <w:r w:rsidRPr="00BD6C2F">
              <w:rPr>
                <w:rFonts w:ascii="Times New Roman" w:hAnsi="Times New Roman"/>
                <w:sz w:val="24"/>
                <w:szCs w:val="24"/>
              </w:rPr>
              <w:t>Магнитные мешалки для полуавтоматического коагулометра Yumizen G400</w:t>
            </w:r>
          </w:p>
        </w:tc>
        <w:tc>
          <w:tcPr>
            <w:tcW w:w="1276" w:type="dxa"/>
            <w:shd w:val="clear" w:color="000000" w:fill="FFFFFF"/>
          </w:tcPr>
          <w:p w:rsidR="000C0B67" w:rsidRPr="00BD6C2F" w:rsidRDefault="000C0B67" w:rsidP="00B110AB">
            <w:pPr>
              <w:jc w:val="center"/>
              <w:rPr>
                <w:rFonts w:ascii="Times New Roman" w:hAnsi="Times New Roman"/>
                <w:sz w:val="24"/>
                <w:szCs w:val="24"/>
              </w:rPr>
            </w:pPr>
            <w:r w:rsidRPr="00BD6C2F">
              <w:rPr>
                <w:rFonts w:ascii="Times New Roman" w:hAnsi="Times New Roman"/>
                <w:sz w:val="24"/>
                <w:szCs w:val="24"/>
              </w:rPr>
              <w:t>штука</w:t>
            </w:r>
          </w:p>
        </w:tc>
        <w:tc>
          <w:tcPr>
            <w:tcW w:w="992" w:type="dxa"/>
            <w:shd w:val="clear" w:color="000000" w:fill="FFFFFF"/>
            <w:noWrap/>
          </w:tcPr>
          <w:p w:rsidR="000C0B67" w:rsidRPr="00BD6C2F" w:rsidRDefault="000C0B67" w:rsidP="00B110AB">
            <w:pPr>
              <w:jc w:val="center"/>
              <w:rPr>
                <w:rFonts w:ascii="Times New Roman" w:hAnsi="Times New Roman"/>
                <w:sz w:val="24"/>
                <w:szCs w:val="24"/>
              </w:rPr>
            </w:pPr>
            <w:r w:rsidRPr="00BD6C2F">
              <w:rPr>
                <w:rFonts w:ascii="Times New Roman" w:hAnsi="Times New Roman"/>
                <w:sz w:val="24"/>
                <w:szCs w:val="24"/>
              </w:rPr>
              <w:t>2</w:t>
            </w:r>
          </w:p>
        </w:tc>
        <w:tc>
          <w:tcPr>
            <w:tcW w:w="1417" w:type="dxa"/>
            <w:shd w:val="clear" w:color="000000" w:fill="FFFFFF"/>
            <w:noWrap/>
          </w:tcPr>
          <w:p w:rsidR="000C0B67" w:rsidRPr="00BD6C2F" w:rsidRDefault="000C0B67" w:rsidP="00B110AB">
            <w:pPr>
              <w:jc w:val="center"/>
              <w:rPr>
                <w:rFonts w:ascii="Times New Roman" w:hAnsi="Times New Roman"/>
                <w:sz w:val="24"/>
                <w:szCs w:val="24"/>
              </w:rPr>
            </w:pPr>
            <w:r w:rsidRPr="00BD6C2F">
              <w:rPr>
                <w:rFonts w:ascii="Times New Roman" w:hAnsi="Times New Roman"/>
                <w:sz w:val="24"/>
                <w:szCs w:val="24"/>
              </w:rPr>
              <w:t>64 500</w:t>
            </w:r>
          </w:p>
        </w:tc>
        <w:tc>
          <w:tcPr>
            <w:tcW w:w="1758" w:type="dxa"/>
            <w:shd w:val="clear" w:color="000000" w:fill="FFFFFF"/>
            <w:noWrap/>
          </w:tcPr>
          <w:p w:rsidR="000C0B67" w:rsidRPr="00BD6C2F" w:rsidRDefault="000C0B67" w:rsidP="00B110AB">
            <w:pPr>
              <w:jc w:val="center"/>
              <w:rPr>
                <w:rFonts w:ascii="Times New Roman" w:hAnsi="Times New Roman"/>
                <w:sz w:val="24"/>
                <w:szCs w:val="24"/>
              </w:rPr>
            </w:pPr>
            <w:r w:rsidRPr="00BD6C2F">
              <w:rPr>
                <w:rFonts w:ascii="Times New Roman" w:hAnsi="Times New Roman"/>
                <w:sz w:val="24"/>
                <w:szCs w:val="24"/>
              </w:rPr>
              <w:t>129 000</w:t>
            </w:r>
          </w:p>
        </w:tc>
      </w:tr>
      <w:tr w:rsidR="000C0B67" w:rsidRPr="003878FD" w:rsidTr="00B110AB">
        <w:trPr>
          <w:trHeight w:val="367"/>
          <w:jc w:val="center"/>
        </w:trPr>
        <w:tc>
          <w:tcPr>
            <w:tcW w:w="12846" w:type="dxa"/>
            <w:gridSpan w:val="6"/>
            <w:shd w:val="clear" w:color="000000" w:fill="FFFFFF"/>
            <w:noWrap/>
            <w:vAlign w:val="center"/>
          </w:tcPr>
          <w:p w:rsidR="000C0B67" w:rsidRPr="00B0715B" w:rsidRDefault="000C0B67" w:rsidP="00B110AB">
            <w:pPr>
              <w:pStyle w:val="Default"/>
              <w:jc w:val="right"/>
              <w:rPr>
                <w:rFonts w:ascii="Times New Roman" w:hAnsi="Times New Roman" w:cs="Times New Roman"/>
                <w:b/>
                <w:bCs/>
              </w:rPr>
            </w:pPr>
            <w:r w:rsidRPr="00B0715B">
              <w:rPr>
                <w:rFonts w:ascii="Times New Roman" w:hAnsi="Times New Roman" w:cs="Times New Roman"/>
                <w:b/>
                <w:bCs/>
              </w:rPr>
              <w:t xml:space="preserve">                                                                                                                                                                               Итого</w:t>
            </w:r>
          </w:p>
        </w:tc>
        <w:tc>
          <w:tcPr>
            <w:tcW w:w="1758" w:type="dxa"/>
            <w:shd w:val="clear" w:color="000000" w:fill="FFFFFF"/>
            <w:noWrap/>
          </w:tcPr>
          <w:p w:rsidR="000C0B67" w:rsidRPr="00B0715B" w:rsidRDefault="000C0B67" w:rsidP="00B110AB">
            <w:pPr>
              <w:rPr>
                <w:rFonts w:ascii="Times New Roman" w:hAnsi="Times New Roman" w:cs="Times New Roman"/>
                <w:b/>
                <w:bCs/>
                <w:color w:val="000000"/>
                <w:sz w:val="24"/>
                <w:szCs w:val="24"/>
                <w:lang w:val="kk-KZ"/>
              </w:rPr>
            </w:pPr>
            <w:r w:rsidRPr="00B0715B">
              <w:rPr>
                <w:rFonts w:ascii="Times New Roman" w:hAnsi="Times New Roman" w:cs="Times New Roman"/>
                <w:b/>
                <w:bCs/>
                <w:color w:val="000000"/>
                <w:sz w:val="24"/>
                <w:szCs w:val="24"/>
                <w:lang w:val="kk-KZ"/>
              </w:rPr>
              <w:t>46 349 100,00</w:t>
            </w:r>
          </w:p>
        </w:tc>
      </w:tr>
      <w:bookmarkEnd w:id="0"/>
    </w:tbl>
    <w:p w:rsidR="000C0B67" w:rsidRPr="003878FD" w:rsidRDefault="000C0B67" w:rsidP="000C0B67">
      <w:pPr>
        <w:spacing w:after="0"/>
        <w:rPr>
          <w:rFonts w:ascii="Times New Roman" w:hAnsi="Times New Roman" w:cs="Times New Roman"/>
          <w:b/>
          <w:color w:val="000000" w:themeColor="text1"/>
          <w:spacing w:val="1"/>
          <w:shd w:val="clear" w:color="auto" w:fill="FFFFFF"/>
          <w:lang w:val="kk-KZ"/>
        </w:rPr>
      </w:pPr>
    </w:p>
    <w:p w:rsidR="000C0B67" w:rsidRPr="003F04F1" w:rsidRDefault="000C0B67" w:rsidP="000C0B67">
      <w:pPr>
        <w:spacing w:after="0"/>
        <w:rPr>
          <w:rFonts w:ascii="Times New Roman" w:hAnsi="Times New Roman" w:cs="Times New Roman"/>
          <w:color w:val="000000" w:themeColor="text1"/>
          <w:spacing w:val="1"/>
          <w:sz w:val="28"/>
          <w:szCs w:val="28"/>
          <w:shd w:val="clear" w:color="auto" w:fill="FFFFFF"/>
          <w:lang w:val="kk-KZ"/>
        </w:rPr>
      </w:pPr>
      <w:r w:rsidRPr="003F04F1">
        <w:rPr>
          <w:rFonts w:ascii="Times New Roman" w:hAnsi="Times New Roman" w:cs="Times New Roman"/>
          <w:b/>
          <w:color w:val="000000" w:themeColor="text1"/>
          <w:spacing w:val="1"/>
          <w:sz w:val="28"/>
          <w:szCs w:val="28"/>
          <w:shd w:val="clear" w:color="auto" w:fill="FFFFFF"/>
          <w:lang w:val="kk-KZ"/>
        </w:rPr>
        <w:t xml:space="preserve">Место поставки товаров: </w:t>
      </w:r>
      <w:r w:rsidRPr="003F04F1">
        <w:rPr>
          <w:rFonts w:ascii="Times New Roman" w:hAnsi="Times New Roman" w:cs="Times New Roman"/>
          <w:color w:val="000000" w:themeColor="text1"/>
          <w:spacing w:val="1"/>
          <w:sz w:val="28"/>
          <w:szCs w:val="28"/>
          <w:shd w:val="clear" w:color="auto" w:fill="FFFFFF"/>
          <w:lang w:val="kk-KZ"/>
        </w:rPr>
        <w:t>Алматы қ., Құрманғазы көш. 98/71/г. Алматы, ул. Курмангазы 98/71.</w:t>
      </w:r>
    </w:p>
    <w:p w:rsidR="000C0B67" w:rsidRPr="00EA3A02" w:rsidRDefault="000C0B67" w:rsidP="000C0B67">
      <w:pPr>
        <w:spacing w:after="0"/>
        <w:rPr>
          <w:rFonts w:ascii="Times New Roman" w:hAnsi="Times New Roman" w:cs="Times New Roman"/>
          <w:color w:val="000000" w:themeColor="text1"/>
          <w:spacing w:val="1"/>
          <w:sz w:val="24"/>
          <w:szCs w:val="24"/>
          <w:shd w:val="clear" w:color="auto" w:fill="FFFFFF"/>
          <w:lang w:val="kk-KZ"/>
        </w:rPr>
      </w:pPr>
    </w:p>
    <w:p w:rsidR="000C0B67" w:rsidRPr="003F04F1" w:rsidRDefault="000C0B67" w:rsidP="000C0B67">
      <w:pPr>
        <w:spacing w:after="0"/>
        <w:rPr>
          <w:rFonts w:ascii="Times New Roman" w:hAnsi="Times New Roman" w:cs="Times New Roman"/>
          <w:color w:val="000000" w:themeColor="text1"/>
          <w:spacing w:val="1"/>
          <w:sz w:val="28"/>
          <w:szCs w:val="28"/>
          <w:shd w:val="clear" w:color="auto" w:fill="FFFFFF"/>
          <w:lang w:val="kk-KZ"/>
        </w:rPr>
      </w:pPr>
      <w:r w:rsidRPr="003F04F1">
        <w:rPr>
          <w:rFonts w:ascii="Times New Roman" w:hAnsi="Times New Roman" w:cs="Times New Roman"/>
          <w:color w:val="000000" w:themeColor="text1"/>
          <w:spacing w:val="1"/>
          <w:sz w:val="28"/>
          <w:szCs w:val="28"/>
          <w:shd w:val="clear" w:color="auto" w:fill="FFFFFF"/>
          <w:lang w:val="kk-KZ"/>
        </w:rPr>
        <w:t>1. Баға ұсыныстарын ұсынудың соңғы мерзімі аяқталғанға дейін әлеуетті өнім беруші мөрленген бір ғана баға ұсынысын ұсынады. Конвертте денсаулық сақтау саласындағы уәкілетті орган бекіткен нысан бойынша баға ұсынысы, жеке немесе заңды тұлғаның лицензиялау немесе рұқсат беру арқылы рұқсат беру органдары жүзеге асыратын қызметті немесе әрекеттерді (операцияларды) жүзеге асыру құқығын растайтын рұқсат бар. тапсырыс беруші немесе сатып алуды ұйымдастырушы белгілеген мерзімдерде рәсімді, сондай-ақ ұсынылатын тауардың осы Қағидалардың 11 тармағында белгіленген талаптарға сәйкестігін растайтын құжаттарды, сондай-ақ фармацевтикалық қызметтердің сипаттамасы мен көлемін.</w:t>
      </w:r>
    </w:p>
    <w:p w:rsidR="000C0B67" w:rsidRPr="003F04F1" w:rsidRDefault="000C0B67" w:rsidP="000C0B67">
      <w:pPr>
        <w:spacing w:after="0"/>
        <w:rPr>
          <w:rFonts w:ascii="Times New Roman" w:hAnsi="Times New Roman" w:cs="Times New Roman"/>
          <w:color w:val="000000" w:themeColor="text1"/>
          <w:spacing w:val="1"/>
          <w:sz w:val="28"/>
          <w:szCs w:val="28"/>
          <w:shd w:val="clear" w:color="auto" w:fill="FFFFFF"/>
          <w:lang w:val="kk-KZ"/>
        </w:rPr>
      </w:pPr>
      <w:r w:rsidRPr="003F04F1">
        <w:rPr>
          <w:rFonts w:ascii="Times New Roman" w:hAnsi="Times New Roman" w:cs="Times New Roman"/>
          <w:color w:val="000000" w:themeColor="text1"/>
          <w:spacing w:val="1"/>
          <w:sz w:val="28"/>
          <w:szCs w:val="28"/>
          <w:shd w:val="clear" w:color="auto" w:fill="FFFFFF"/>
          <w:lang w:val="kk-KZ"/>
        </w:rPr>
        <w:t>2. Әлеуетті өнім берушінің баға ұсынысын ұсынуы сұрау салудың және үлгілік сатып алу туралы шарттың немесе бекітілген нысан бойынша фармацевтикалық қызметтер көрсетуге арналған шарттың талаптарын сақтай отырып, оның тауарды жеткізуге немесе фармацевтикалық қызметтер көрсетуге келісімін білдіру нысаны болып табылады. денсаулық сақтау саласындағы уәкілетті органмен.</w:t>
      </w:r>
    </w:p>
    <w:p w:rsidR="000C0B67" w:rsidRPr="003F04F1" w:rsidRDefault="000C0B67" w:rsidP="000C0B67">
      <w:pPr>
        <w:spacing w:after="0"/>
        <w:rPr>
          <w:rFonts w:ascii="Times New Roman" w:hAnsi="Times New Roman" w:cs="Times New Roman"/>
          <w:color w:val="000000" w:themeColor="text1"/>
          <w:spacing w:val="1"/>
          <w:sz w:val="28"/>
          <w:szCs w:val="28"/>
          <w:shd w:val="clear" w:color="auto" w:fill="FFFFFF"/>
          <w:lang w:val="kk-KZ"/>
        </w:rPr>
      </w:pPr>
      <w:r w:rsidRPr="003F04F1">
        <w:rPr>
          <w:rFonts w:ascii="Times New Roman" w:hAnsi="Times New Roman" w:cs="Times New Roman"/>
          <w:color w:val="000000" w:themeColor="text1"/>
          <w:spacing w:val="1"/>
          <w:sz w:val="28"/>
          <w:szCs w:val="28"/>
          <w:shd w:val="clear" w:color="auto" w:fill="FFFFFF"/>
          <w:lang w:val="kk-KZ"/>
        </w:rPr>
        <w:t>3. Тапсырыс беруші және (немесе) сатып алуды ұйымдастырушы бұл туралы хабардар ететін ең төмен баға ұсынысын ұсынған әлеуетті өнім беруші жеңімпаз болып табылады.</w:t>
      </w:r>
    </w:p>
    <w:p w:rsidR="000C0B67" w:rsidRPr="003F04F1" w:rsidRDefault="000C0B67" w:rsidP="000C0B67">
      <w:pPr>
        <w:spacing w:after="0"/>
        <w:rPr>
          <w:rFonts w:ascii="Times New Roman" w:hAnsi="Times New Roman" w:cs="Times New Roman"/>
          <w:color w:val="000000" w:themeColor="text1"/>
          <w:spacing w:val="1"/>
          <w:sz w:val="28"/>
          <w:szCs w:val="28"/>
          <w:shd w:val="clear" w:color="auto" w:fill="FFFFFF"/>
          <w:lang w:val="kk-KZ"/>
        </w:rPr>
      </w:pPr>
      <w:r w:rsidRPr="003F04F1">
        <w:rPr>
          <w:rFonts w:ascii="Times New Roman" w:hAnsi="Times New Roman" w:cs="Times New Roman"/>
          <w:color w:val="000000" w:themeColor="text1"/>
          <w:spacing w:val="1"/>
          <w:sz w:val="28"/>
          <w:szCs w:val="28"/>
          <w:shd w:val="clear" w:color="auto" w:fill="FFFFFF"/>
          <w:lang w:val="kk-KZ"/>
        </w:rPr>
        <w:t>Бірдей баға ұсыныстары берілген жағдайда баға ұсынысын бірінші болып берген әлеуетті өнім беруші жеңімпаз деп танылады.</w:t>
      </w:r>
    </w:p>
    <w:p w:rsidR="000C0B67" w:rsidRPr="003F04F1" w:rsidRDefault="000C0B67" w:rsidP="000C0B67">
      <w:pPr>
        <w:spacing w:after="0"/>
        <w:rPr>
          <w:rFonts w:ascii="Times New Roman" w:hAnsi="Times New Roman" w:cs="Times New Roman"/>
          <w:color w:val="000000" w:themeColor="text1"/>
          <w:spacing w:val="1"/>
          <w:sz w:val="28"/>
          <w:szCs w:val="28"/>
          <w:shd w:val="clear" w:color="auto" w:fill="FFFFFF"/>
          <w:lang w:val="kk-KZ"/>
        </w:rPr>
      </w:pPr>
      <w:r w:rsidRPr="003F04F1">
        <w:rPr>
          <w:rFonts w:ascii="Times New Roman" w:hAnsi="Times New Roman" w:cs="Times New Roman"/>
          <w:color w:val="000000" w:themeColor="text1"/>
          <w:spacing w:val="1"/>
          <w:sz w:val="28"/>
          <w:szCs w:val="28"/>
          <w:shd w:val="clear" w:color="auto" w:fill="FFFFFF"/>
          <w:lang w:val="kk-KZ"/>
        </w:rPr>
        <w:t>Баға ұсыныстары мен құжаттары осы Қағидалардың 80-тармағына сәйкес ұсынылған бір әлеуетті өнім беруші баға ұсыныстарын сұрату тәсілімен сатып алуға қатысқан жағдайда, тапсырыс беруші немесе сатып алуды ұйымдастырушы осындай әлеуетті өнім берушіні конкурстың жеңімпазы деп тану туралы шешім қабылдайды. сатып алу.</w:t>
      </w:r>
    </w:p>
    <w:p w:rsidR="000C0B67" w:rsidRPr="003F04F1" w:rsidRDefault="000C0B67" w:rsidP="000C0B67">
      <w:pPr>
        <w:spacing w:after="0"/>
        <w:rPr>
          <w:rFonts w:ascii="Times New Roman" w:hAnsi="Times New Roman" w:cs="Times New Roman"/>
          <w:color w:val="000000" w:themeColor="text1"/>
          <w:spacing w:val="1"/>
          <w:sz w:val="28"/>
          <w:szCs w:val="28"/>
          <w:shd w:val="clear" w:color="auto" w:fill="FFFFFF"/>
          <w:lang w:val="kk-KZ"/>
        </w:rPr>
      </w:pPr>
      <w:r w:rsidRPr="003F04F1">
        <w:rPr>
          <w:rFonts w:ascii="Times New Roman" w:hAnsi="Times New Roman" w:cs="Times New Roman"/>
          <w:color w:val="000000" w:themeColor="text1"/>
          <w:spacing w:val="1"/>
          <w:sz w:val="28"/>
          <w:szCs w:val="28"/>
          <w:shd w:val="clear" w:color="auto" w:fill="FFFFFF"/>
          <w:lang w:val="kk-KZ"/>
        </w:rPr>
        <w:lastRenderedPageBreak/>
        <w:t>Баға ұсыныстары болмаған жағдайда, баға ұсыныстарын сұрату тәсілімен сатып алу өтпеді деп танылады.</w:t>
      </w:r>
    </w:p>
    <w:p w:rsidR="000C0B67" w:rsidRPr="003F04F1" w:rsidRDefault="000C0B67" w:rsidP="000C0B67">
      <w:pPr>
        <w:spacing w:after="0"/>
        <w:rPr>
          <w:rFonts w:ascii="Times New Roman" w:hAnsi="Times New Roman" w:cs="Times New Roman"/>
          <w:color w:val="000000" w:themeColor="text1"/>
          <w:spacing w:val="1"/>
          <w:sz w:val="28"/>
          <w:szCs w:val="28"/>
          <w:shd w:val="clear" w:color="auto" w:fill="FFFFFF"/>
          <w:lang w:val="kk-KZ"/>
        </w:rPr>
      </w:pPr>
      <w:r w:rsidRPr="003F04F1">
        <w:rPr>
          <w:rFonts w:ascii="Times New Roman" w:hAnsi="Times New Roman" w:cs="Times New Roman"/>
          <w:color w:val="000000" w:themeColor="text1"/>
          <w:spacing w:val="1"/>
          <w:sz w:val="28"/>
          <w:szCs w:val="28"/>
          <w:shd w:val="clear" w:color="auto" w:fill="FFFFFF"/>
          <w:lang w:val="kk-KZ"/>
        </w:rPr>
        <w:t>4. Жеңімпаз осы Қағидалардың 80-тармағына сәйкес тапсырыс берушіге немесе сатып алуды ұйымдастырушыға жеңімпаз деп танылған күннен бастап күнтізбелік он күн ішінде біліктілік талаптарына сәйкестігін растайтын мынадай құжаттарды ұсынады:</w:t>
      </w:r>
    </w:p>
    <w:p w:rsidR="000C0B67" w:rsidRPr="003F04F1" w:rsidRDefault="000C0B67" w:rsidP="000C0B67">
      <w:pPr>
        <w:spacing w:after="0"/>
        <w:rPr>
          <w:rFonts w:ascii="Times New Roman" w:hAnsi="Times New Roman" w:cs="Times New Roman"/>
          <w:color w:val="000000" w:themeColor="text1"/>
          <w:spacing w:val="1"/>
          <w:sz w:val="28"/>
          <w:szCs w:val="28"/>
          <w:shd w:val="clear" w:color="auto" w:fill="FFFFFF"/>
          <w:lang w:val="kk-KZ"/>
        </w:rPr>
      </w:pPr>
      <w:r w:rsidRPr="003F04F1">
        <w:rPr>
          <w:rFonts w:ascii="Times New Roman" w:hAnsi="Times New Roman" w:cs="Times New Roman"/>
          <w:color w:val="000000" w:themeColor="text1"/>
          <w:spacing w:val="1"/>
          <w:sz w:val="28"/>
          <w:szCs w:val="28"/>
          <w:shd w:val="clear" w:color="auto" w:fill="FFFFFF"/>
          <w:lang w:val="kk-KZ"/>
        </w:rPr>
        <w:t>1) фармацевтикалық қызметке және (немесе) есірткі құралдарының, психотроптық заттардың және прекурсорлардың айналысы саласындағы қызметті жүзеге асыруға тиісті лицензияның көшірмелері, есірткі құралдарының, психотроптық заттар мен прекурсорлардың көтерме және (немесе) бөлшек саудасы бойынша қызметтің басталғаны немесе тоқтатылғаны туралы хабарлама. медициналық мақсаттағы бұйымдар немесе олар туралы мәліметтер мемлекеттік органдардың ақпараттық жүйелерінде расталған «Рұқсаттар және хабарламалар туралы» Заңға сәйкес алынған (жіберілген) электрондық құжат нысанында. Мемлекеттік органдардың ақпараттық жүйелерінде ақпарат болмаған жағдайда әлеуетті өнім беруші фармацевтикалық қызметке және (немесе) есірткі құралдарының, психотроптық заттар мен прекурсорлардың айналысы саласындағы қызметті жүзеге асыруға тиісті лицензияның нотариат куәландырған көшірмесін табыс етеді. «Рұқсаттар және хабарламалар туралы» Заңға сәйкес алынған медициналық мақсаттағы бұйымдарды көтерме және (немесе) бөлшек саудада өткізудің басталуы немесе тоқтатылуы;</w:t>
      </w:r>
    </w:p>
    <w:p w:rsidR="000C0B67" w:rsidRPr="003F04F1" w:rsidRDefault="000C0B67" w:rsidP="000C0B67">
      <w:pPr>
        <w:spacing w:after="0"/>
        <w:rPr>
          <w:rFonts w:ascii="Times New Roman" w:hAnsi="Times New Roman" w:cs="Times New Roman"/>
          <w:color w:val="000000" w:themeColor="text1"/>
          <w:spacing w:val="1"/>
          <w:sz w:val="28"/>
          <w:szCs w:val="28"/>
          <w:shd w:val="clear" w:color="auto" w:fill="FFFFFF"/>
          <w:lang w:val="kk-KZ"/>
        </w:rPr>
      </w:pPr>
      <w:r w:rsidRPr="003F04F1">
        <w:rPr>
          <w:rFonts w:ascii="Times New Roman" w:hAnsi="Times New Roman" w:cs="Times New Roman"/>
          <w:color w:val="000000" w:themeColor="text1"/>
          <w:spacing w:val="1"/>
          <w:sz w:val="28"/>
          <w:szCs w:val="28"/>
          <w:shd w:val="clear" w:color="auto" w:fill="FFFFFF"/>
          <w:lang w:val="kk-KZ"/>
        </w:rPr>
        <w:t>2) заңды тұлға құрмай кәсіпкерлік қызметті жүзеге асыру құқығын беретін құжаттың көшірмесі (кәсіпкерлік қызметті жүзеге асыратын жеке тұлға үшін);</w:t>
      </w:r>
    </w:p>
    <w:p w:rsidR="000C0B67" w:rsidRPr="003F04F1" w:rsidRDefault="000C0B67" w:rsidP="000C0B67">
      <w:pPr>
        <w:spacing w:after="0"/>
        <w:rPr>
          <w:rFonts w:ascii="Times New Roman" w:hAnsi="Times New Roman" w:cs="Times New Roman"/>
          <w:color w:val="000000" w:themeColor="text1"/>
          <w:spacing w:val="1"/>
          <w:sz w:val="28"/>
          <w:szCs w:val="28"/>
          <w:shd w:val="clear" w:color="auto" w:fill="FFFFFF"/>
          <w:lang w:val="kk-KZ"/>
        </w:rPr>
      </w:pPr>
      <w:r w:rsidRPr="003F04F1">
        <w:rPr>
          <w:rFonts w:ascii="Times New Roman" w:hAnsi="Times New Roman" w:cs="Times New Roman"/>
          <w:color w:val="000000" w:themeColor="text1"/>
          <w:spacing w:val="1"/>
          <w:sz w:val="28"/>
          <w:szCs w:val="28"/>
          <w:shd w:val="clear" w:color="auto" w:fill="FFFFFF"/>
          <w:lang w:val="kk-KZ"/>
        </w:rPr>
        <w:t>3) заңды тұлғаны мемлекеттік тіркеу (қайта тіркеу) туралы куәлік, жеке куәліктің немесе төлқұжаттың көшірмесі (кәсіпкерлік қызметті жүзеге асыратын жеке тұлға үшін);</w:t>
      </w:r>
    </w:p>
    <w:p w:rsidR="000C0B67" w:rsidRPr="003F04F1" w:rsidRDefault="000C0B67" w:rsidP="000C0B67">
      <w:pPr>
        <w:spacing w:after="0"/>
        <w:rPr>
          <w:rFonts w:ascii="Times New Roman" w:hAnsi="Times New Roman" w:cs="Times New Roman"/>
          <w:color w:val="000000" w:themeColor="text1"/>
          <w:spacing w:val="1"/>
          <w:sz w:val="28"/>
          <w:szCs w:val="28"/>
          <w:shd w:val="clear" w:color="auto" w:fill="FFFFFF"/>
          <w:lang w:val="kk-KZ"/>
        </w:rPr>
      </w:pPr>
      <w:r w:rsidRPr="003F04F1">
        <w:rPr>
          <w:rFonts w:ascii="Times New Roman" w:hAnsi="Times New Roman" w:cs="Times New Roman"/>
          <w:color w:val="000000" w:themeColor="text1"/>
          <w:spacing w:val="1"/>
          <w:sz w:val="28"/>
          <w:szCs w:val="28"/>
          <w:shd w:val="clear" w:color="auto" w:fill="FFFFFF"/>
          <w:lang w:val="kk-KZ"/>
        </w:rPr>
        <w:t>4) заңды тұлға жарғысының көшірмесі (егер жарғыда құрылтайшылардың, қатысушылардың немесе акционерлердің құрамы көрсетілмесе, онда акционерлер тізілімінен үзінді көшірме немесе құрылтайшылардың, қатысушылардың құрамы туралы үзінді көшірме немесе көшірме); сондай-ақ сатып алу туралы хабарландыру берілген күннен кейін құрылтай шарты туралы);</w:t>
      </w:r>
    </w:p>
    <w:p w:rsidR="000C0B67" w:rsidRPr="003F04F1" w:rsidRDefault="000C0B67" w:rsidP="000C0B67">
      <w:pPr>
        <w:spacing w:after="0"/>
        <w:rPr>
          <w:rFonts w:ascii="Times New Roman" w:hAnsi="Times New Roman" w:cs="Times New Roman"/>
          <w:color w:val="000000" w:themeColor="text1"/>
          <w:spacing w:val="1"/>
          <w:sz w:val="28"/>
          <w:szCs w:val="28"/>
          <w:shd w:val="clear" w:color="auto" w:fill="FFFFFF"/>
          <w:lang w:val="kk-KZ"/>
        </w:rPr>
      </w:pPr>
      <w:r w:rsidRPr="003F04F1">
        <w:rPr>
          <w:rFonts w:ascii="Times New Roman" w:hAnsi="Times New Roman" w:cs="Times New Roman"/>
          <w:color w:val="000000" w:themeColor="text1"/>
          <w:spacing w:val="1"/>
          <w:sz w:val="28"/>
          <w:szCs w:val="28"/>
          <w:shd w:val="clear" w:color="auto" w:fill="FFFFFF"/>
          <w:lang w:val="kk-KZ"/>
        </w:rPr>
        <w:t>5) "электрондық үкiмет" веб-порталы немесе "салық төлеушiнiң кеңсесi" веб-қосымшасы арқылы алынған, есепке алуы мемлекеттiк кiрiс органдарында жүргiзiлетiн берешегiнiң жоқ (болуы) туралы мәлiметтер;</w:t>
      </w:r>
    </w:p>
    <w:p w:rsidR="000C0B67" w:rsidRPr="003F04F1" w:rsidRDefault="000C0B67" w:rsidP="000C0B67">
      <w:pPr>
        <w:spacing w:after="0"/>
        <w:rPr>
          <w:rFonts w:ascii="Times New Roman" w:hAnsi="Times New Roman" w:cs="Times New Roman"/>
          <w:color w:val="000000" w:themeColor="text1"/>
          <w:spacing w:val="1"/>
          <w:sz w:val="28"/>
          <w:szCs w:val="28"/>
          <w:shd w:val="clear" w:color="auto" w:fill="FFFFFF"/>
          <w:lang w:val="kk-KZ"/>
        </w:rPr>
      </w:pPr>
      <w:r w:rsidRPr="003F04F1">
        <w:rPr>
          <w:rFonts w:ascii="Times New Roman" w:hAnsi="Times New Roman" w:cs="Times New Roman"/>
          <w:color w:val="000000" w:themeColor="text1"/>
          <w:spacing w:val="1"/>
          <w:sz w:val="28"/>
          <w:szCs w:val="28"/>
          <w:shd w:val="clear" w:color="auto" w:fill="FFFFFF"/>
          <w:lang w:val="kk-KZ"/>
        </w:rPr>
        <w:t>6) осы әлеуетті өнім беруші Қазақстан Республикасының резиденті болып табылмайтыны туралы Қазақстан Республикасы салық органының анықтамасының түпнұсқасы (егер әлеуетті өнім беруші Қазақстан Республикасының резиденті болып табылмаса және Қазақстан Республикасының салық төлеушісі ретінде тіркелмеген болса). Қазақстан Республикасы). Жеңімпаз біліктілік талаптарына сәйкес келмеген жағдайда баға ұсыныстары әдісімен сатып алу өтпеді деп танылады.</w:t>
      </w:r>
    </w:p>
    <w:p w:rsidR="000C0B67" w:rsidRPr="003F04F1" w:rsidRDefault="000C0B67" w:rsidP="000C0B67">
      <w:pPr>
        <w:spacing w:after="0"/>
        <w:rPr>
          <w:rFonts w:ascii="Times New Roman" w:hAnsi="Times New Roman" w:cs="Times New Roman"/>
          <w:color w:val="000000" w:themeColor="text1"/>
          <w:spacing w:val="1"/>
          <w:sz w:val="28"/>
          <w:szCs w:val="28"/>
          <w:shd w:val="clear" w:color="auto" w:fill="FFFFFF"/>
          <w:lang w:val="kk-KZ"/>
        </w:rPr>
      </w:pPr>
      <w:r w:rsidRPr="003F04F1">
        <w:rPr>
          <w:rFonts w:ascii="Times New Roman" w:hAnsi="Times New Roman" w:cs="Times New Roman"/>
          <w:color w:val="000000" w:themeColor="text1"/>
          <w:spacing w:val="1"/>
          <w:sz w:val="28"/>
          <w:szCs w:val="28"/>
          <w:shd w:val="clear" w:color="auto" w:fill="FFFFFF"/>
          <w:lang w:val="kk-KZ"/>
        </w:rPr>
        <w:lastRenderedPageBreak/>
        <w:t>5. Әлеуетті өнім беруші фармацевтикалық қызметтерді сатып алу кезінде ортақ мердігерге осы тармақта көзделген құжаттарды ұсынады.</w:t>
      </w:r>
    </w:p>
    <w:p w:rsidR="000C0B67" w:rsidRPr="003F04F1" w:rsidRDefault="000C0B67" w:rsidP="000C0B67">
      <w:pPr>
        <w:spacing w:after="0"/>
        <w:rPr>
          <w:rFonts w:ascii="Times New Roman" w:hAnsi="Times New Roman" w:cs="Times New Roman"/>
          <w:color w:val="000000" w:themeColor="text1"/>
          <w:spacing w:val="1"/>
          <w:sz w:val="28"/>
          <w:szCs w:val="28"/>
          <w:shd w:val="clear" w:color="auto" w:fill="FFFFFF"/>
          <w:lang w:val="kk-KZ"/>
        </w:rPr>
      </w:pPr>
      <w:r w:rsidRPr="003F04F1">
        <w:rPr>
          <w:rFonts w:ascii="Times New Roman" w:hAnsi="Times New Roman" w:cs="Times New Roman"/>
          <w:color w:val="000000" w:themeColor="text1"/>
          <w:spacing w:val="1"/>
          <w:sz w:val="28"/>
          <w:szCs w:val="28"/>
          <w:shd w:val="clear" w:color="auto" w:fill="FFFFFF"/>
          <w:lang w:val="kk-KZ"/>
        </w:rPr>
        <w:t>6. Жеңімпаз біліктілік талаптарына сәйкес келмеген жағдайда баға ұсыныстары тәсілімен сатып алу өтпеді деп танылады.</w:t>
      </w:r>
    </w:p>
    <w:p w:rsidR="000C0B67" w:rsidRPr="003F04F1" w:rsidRDefault="000C0B67" w:rsidP="000C0B67">
      <w:pPr>
        <w:spacing w:after="0"/>
        <w:rPr>
          <w:rFonts w:ascii="Times New Roman" w:hAnsi="Times New Roman" w:cs="Times New Roman"/>
          <w:color w:val="000000" w:themeColor="text1"/>
          <w:spacing w:val="1"/>
          <w:sz w:val="28"/>
          <w:szCs w:val="28"/>
          <w:shd w:val="clear" w:color="auto" w:fill="FFFFFF"/>
          <w:lang w:val="kk-KZ"/>
        </w:rPr>
      </w:pPr>
    </w:p>
    <w:p w:rsidR="000C0B67" w:rsidRPr="0005425D" w:rsidRDefault="000C0B67" w:rsidP="000C0B67">
      <w:pPr>
        <w:pStyle w:val="a5"/>
        <w:tabs>
          <w:tab w:val="left" w:pos="426"/>
          <w:tab w:val="left" w:pos="1276"/>
        </w:tabs>
        <w:jc w:val="both"/>
        <w:rPr>
          <w:rStyle w:val="s0"/>
          <w:color w:val="auto"/>
          <w:sz w:val="28"/>
          <w:szCs w:val="28"/>
          <w:lang w:val="kk-KZ"/>
        </w:rPr>
      </w:pPr>
    </w:p>
    <w:p w:rsidR="000C0B67" w:rsidRPr="003F04F1" w:rsidRDefault="000C0B67" w:rsidP="000C0B67">
      <w:pPr>
        <w:pStyle w:val="a5"/>
        <w:tabs>
          <w:tab w:val="left" w:pos="426"/>
          <w:tab w:val="left" w:pos="1276"/>
        </w:tabs>
        <w:jc w:val="both"/>
        <w:rPr>
          <w:rStyle w:val="s0"/>
          <w:color w:val="auto"/>
          <w:sz w:val="28"/>
          <w:szCs w:val="28"/>
        </w:rPr>
      </w:pPr>
      <w:r w:rsidRPr="003F04F1">
        <w:rPr>
          <w:rStyle w:val="s0"/>
          <w:color w:val="auto"/>
          <w:sz w:val="28"/>
          <w:szCs w:val="28"/>
        </w:rPr>
        <w:t>1.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w:t>
      </w:r>
      <w:r w:rsidRPr="003F04F1">
        <w:rPr>
          <w:rStyle w:val="s0"/>
          <w:color w:val="auto"/>
          <w:sz w:val="28"/>
          <w:szCs w:val="28"/>
          <w:lang w:val="kk-KZ"/>
        </w:rPr>
        <w:t xml:space="preserve"> </w:t>
      </w:r>
      <w:r w:rsidRPr="003F04F1">
        <w:rPr>
          <w:rStyle w:val="s0"/>
          <w:color w:val="auto"/>
          <w:sz w:val="28"/>
          <w:szCs w:val="28"/>
        </w:rPr>
        <w:t>Конверт содержит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или организатором закупа, а также документы, подтверждающие соответствие предлагаемых товаров требованиям, установленным</w:t>
      </w:r>
      <w:bookmarkStart w:id="1" w:name="SUB1005507901_5"/>
      <w:r w:rsidRPr="003F04F1">
        <w:rPr>
          <w:rStyle w:val="s0"/>
          <w:color w:val="auto"/>
          <w:sz w:val="28"/>
          <w:szCs w:val="28"/>
        </w:rPr>
        <w:t xml:space="preserve"> </w:t>
      </w:r>
      <w:bookmarkEnd w:id="1"/>
      <w:r w:rsidRPr="003F04F1">
        <w:rPr>
          <w:rFonts w:ascii="Times New Roman" w:hAnsi="Times New Roman" w:cs="Times New Roman"/>
          <w:sz w:val="28"/>
          <w:szCs w:val="28"/>
        </w:rPr>
        <w:t xml:space="preserve">пункта 11 </w:t>
      </w:r>
      <w:r w:rsidRPr="003F04F1">
        <w:rPr>
          <w:rStyle w:val="s0"/>
          <w:color w:val="auto"/>
          <w:sz w:val="28"/>
          <w:szCs w:val="28"/>
        </w:rPr>
        <w:t>настоящих Правил, а также описание и объем фармацевтических услуг.</w:t>
      </w:r>
      <w:bookmarkStart w:id="2" w:name="SUB10700"/>
      <w:bookmarkEnd w:id="2"/>
    </w:p>
    <w:p w:rsidR="000C0B67" w:rsidRPr="003F04F1" w:rsidRDefault="000C0B67" w:rsidP="000C0B67">
      <w:pPr>
        <w:pStyle w:val="a5"/>
        <w:tabs>
          <w:tab w:val="left" w:pos="426"/>
          <w:tab w:val="left" w:pos="1276"/>
        </w:tabs>
        <w:jc w:val="both"/>
        <w:rPr>
          <w:rStyle w:val="s0"/>
          <w:color w:val="auto"/>
          <w:sz w:val="28"/>
          <w:szCs w:val="28"/>
        </w:rPr>
      </w:pPr>
      <w:r w:rsidRPr="003F04F1">
        <w:rPr>
          <w:rStyle w:val="s0"/>
          <w:color w:val="auto"/>
          <w:sz w:val="28"/>
          <w:szCs w:val="28"/>
        </w:rPr>
        <w:t xml:space="preserve">2. Представление потенциальным поставщиком ценового предложения является формой выражения его согласия осуществить поставку товара или оказать фармацевтические услуги с соблюдением условий запроса и типового договора закупа или договора на оказание фармацевтических услуг по </w:t>
      </w:r>
      <w:hyperlink r:id="rId4" w:history="1">
        <w:r w:rsidRPr="003F04F1">
          <w:rPr>
            <w:rStyle w:val="s0"/>
            <w:color w:val="auto"/>
            <w:sz w:val="28"/>
            <w:szCs w:val="28"/>
          </w:rPr>
          <w:t>форме</w:t>
        </w:r>
      </w:hyperlink>
      <w:r w:rsidRPr="003F04F1">
        <w:rPr>
          <w:rStyle w:val="s0"/>
          <w:color w:val="auto"/>
          <w:sz w:val="28"/>
          <w:szCs w:val="28"/>
        </w:rPr>
        <w:t>, утвержденной уполномоченным органом в области здравоохранения.</w:t>
      </w:r>
      <w:bookmarkStart w:id="3" w:name="SUB10800"/>
      <w:bookmarkEnd w:id="3"/>
    </w:p>
    <w:p w:rsidR="000C0B67" w:rsidRPr="003F04F1" w:rsidRDefault="000C0B67" w:rsidP="000C0B67">
      <w:pPr>
        <w:pStyle w:val="a5"/>
        <w:tabs>
          <w:tab w:val="left" w:pos="426"/>
          <w:tab w:val="left" w:pos="1276"/>
        </w:tabs>
        <w:jc w:val="both"/>
        <w:rPr>
          <w:rStyle w:val="s0"/>
          <w:color w:val="auto"/>
          <w:sz w:val="28"/>
          <w:szCs w:val="28"/>
        </w:rPr>
      </w:pPr>
      <w:r w:rsidRPr="003F04F1">
        <w:rPr>
          <w:rStyle w:val="s0"/>
          <w:color w:val="auto"/>
          <w:sz w:val="28"/>
          <w:szCs w:val="28"/>
        </w:rPr>
        <w:t>3. Победителем признается потенциальный поставщик, предложивший наименьшее ценовое предложение, которого заказчик и (или) организатор закупа уведомляют об этом.</w:t>
      </w:r>
    </w:p>
    <w:p w:rsidR="000C0B67" w:rsidRPr="003F04F1" w:rsidRDefault="000C0B67" w:rsidP="000C0B67">
      <w:pPr>
        <w:pStyle w:val="a5"/>
        <w:tabs>
          <w:tab w:val="left" w:pos="426"/>
        </w:tabs>
        <w:ind w:firstLine="709"/>
        <w:jc w:val="both"/>
        <w:rPr>
          <w:rStyle w:val="s0"/>
          <w:color w:val="auto"/>
          <w:sz w:val="28"/>
          <w:szCs w:val="28"/>
        </w:rPr>
      </w:pPr>
      <w:r w:rsidRPr="003F04F1">
        <w:rPr>
          <w:rStyle w:val="s0"/>
          <w:color w:val="auto"/>
          <w:sz w:val="28"/>
          <w:szCs w:val="28"/>
        </w:rPr>
        <w:t>В случаях представления одинаковых ценовых предложений, победителем признается потенциальный поставщик, первым представивший ценовое предложение.</w:t>
      </w:r>
    </w:p>
    <w:p w:rsidR="000C0B67" w:rsidRPr="003F04F1" w:rsidRDefault="000C0B67" w:rsidP="000C0B67">
      <w:pPr>
        <w:pStyle w:val="a5"/>
        <w:tabs>
          <w:tab w:val="left" w:pos="426"/>
        </w:tabs>
        <w:ind w:firstLine="709"/>
        <w:jc w:val="both"/>
        <w:rPr>
          <w:rFonts w:ascii="Times New Roman" w:hAnsi="Times New Roman" w:cs="Times New Roman"/>
          <w:color w:val="auto"/>
          <w:sz w:val="28"/>
          <w:szCs w:val="28"/>
        </w:rPr>
      </w:pPr>
      <w:r w:rsidRPr="003F04F1">
        <w:rPr>
          <w:rFonts w:ascii="Times New Roman" w:hAnsi="Times New Roman" w:cs="Times New Roman"/>
          <w:color w:val="auto"/>
          <w:sz w:val="28"/>
          <w:szCs w:val="28"/>
        </w:rPr>
        <w:t>В случае, когда в закупе способом запроса ценовых предложений принимает участие один потенциальный поставщик, ценовое предложение и документы которого представлены в соответствии с пунктом 80 настоящих Правил, заказчик или организатор закупа принимает решение о признании такого потенциального поставщика победителем закупа.</w:t>
      </w:r>
    </w:p>
    <w:p w:rsidR="000C0B67" w:rsidRPr="003F04F1" w:rsidRDefault="000C0B67" w:rsidP="000C0B67">
      <w:pPr>
        <w:pStyle w:val="a5"/>
        <w:tabs>
          <w:tab w:val="left" w:pos="426"/>
        </w:tabs>
        <w:ind w:firstLine="709"/>
        <w:jc w:val="both"/>
        <w:rPr>
          <w:rStyle w:val="s0"/>
          <w:color w:val="auto"/>
          <w:sz w:val="28"/>
          <w:szCs w:val="28"/>
        </w:rPr>
      </w:pPr>
      <w:r w:rsidRPr="003F04F1">
        <w:rPr>
          <w:rStyle w:val="s0"/>
          <w:color w:val="auto"/>
          <w:sz w:val="28"/>
          <w:szCs w:val="28"/>
        </w:rPr>
        <w:t>При отсутствии ценовых предложений, закуп способом запроса ценовых предложений признается несостоявшимся.</w:t>
      </w:r>
    </w:p>
    <w:p w:rsidR="000C0B67" w:rsidRPr="003F04F1" w:rsidRDefault="000C0B67" w:rsidP="000C0B67">
      <w:pPr>
        <w:pStyle w:val="a5"/>
        <w:tabs>
          <w:tab w:val="left" w:pos="426"/>
        </w:tabs>
        <w:jc w:val="both"/>
        <w:rPr>
          <w:rFonts w:ascii="Times New Roman" w:hAnsi="Times New Roman" w:cs="Times New Roman"/>
          <w:color w:val="auto"/>
          <w:sz w:val="28"/>
          <w:szCs w:val="28"/>
        </w:rPr>
      </w:pPr>
      <w:r w:rsidRPr="003F04F1">
        <w:rPr>
          <w:rStyle w:val="s0"/>
          <w:color w:val="auto"/>
          <w:sz w:val="28"/>
          <w:szCs w:val="28"/>
        </w:rPr>
        <w:t xml:space="preserve">4. Победитель </w:t>
      </w:r>
      <w:r w:rsidRPr="003F04F1">
        <w:rPr>
          <w:rFonts w:ascii="Times New Roman" w:hAnsi="Times New Roman" w:cs="Times New Roman"/>
          <w:color w:val="auto"/>
          <w:sz w:val="28"/>
          <w:szCs w:val="28"/>
        </w:rPr>
        <w:t xml:space="preserve">в соответствии с пунктом </w:t>
      </w:r>
      <w:r w:rsidRPr="003F04F1">
        <w:rPr>
          <w:rFonts w:ascii="Times New Roman" w:hAnsi="Times New Roman" w:cs="Times New Roman"/>
          <w:color w:val="auto"/>
          <w:sz w:val="28"/>
          <w:szCs w:val="28"/>
          <w:lang w:val="kk-KZ"/>
        </w:rPr>
        <w:t xml:space="preserve">80 </w:t>
      </w:r>
      <w:r w:rsidRPr="003F04F1">
        <w:rPr>
          <w:rFonts w:ascii="Times New Roman" w:hAnsi="Times New Roman" w:cs="Times New Roman"/>
          <w:color w:val="auto"/>
          <w:sz w:val="28"/>
          <w:szCs w:val="28"/>
        </w:rPr>
        <w:t>настоящих Правил</w:t>
      </w:r>
      <w:r w:rsidRPr="003F04F1">
        <w:rPr>
          <w:rStyle w:val="s0"/>
          <w:color w:val="auto"/>
          <w:sz w:val="28"/>
          <w:szCs w:val="28"/>
        </w:rPr>
        <w:t xml:space="preserve"> представляет заказчику или организатору закупа в течение десяти календарных дней со дня признания победителем следующие документы, подтверждающие соответствие квалификационным требованиям:</w:t>
      </w:r>
    </w:p>
    <w:p w:rsidR="000C0B67" w:rsidRPr="003F04F1" w:rsidRDefault="000C0B67" w:rsidP="000C0B67">
      <w:pPr>
        <w:pStyle w:val="a5"/>
        <w:tabs>
          <w:tab w:val="left" w:pos="426"/>
        </w:tabs>
        <w:jc w:val="both"/>
        <w:rPr>
          <w:rStyle w:val="s0"/>
          <w:color w:val="auto"/>
          <w:sz w:val="28"/>
          <w:szCs w:val="28"/>
        </w:rPr>
      </w:pPr>
      <w:r w:rsidRPr="003F04F1">
        <w:rPr>
          <w:rStyle w:val="s0"/>
          <w:color w:val="auto"/>
          <w:sz w:val="28"/>
          <w:szCs w:val="28"/>
          <w:lang w:val="kk-KZ"/>
        </w:rPr>
        <w:tab/>
      </w:r>
      <w:r w:rsidRPr="003F04F1">
        <w:rPr>
          <w:rStyle w:val="s0"/>
          <w:color w:val="auto"/>
          <w:sz w:val="28"/>
          <w:szCs w:val="28"/>
        </w:rPr>
        <w:t xml:space="preserve">1) копии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либо в виде электронного документа, полученных </w:t>
      </w:r>
      <w:r w:rsidRPr="003F04F1">
        <w:rPr>
          <w:rStyle w:val="s0"/>
          <w:color w:val="auto"/>
          <w:sz w:val="28"/>
          <w:szCs w:val="28"/>
        </w:rPr>
        <w:lastRenderedPageBreak/>
        <w:t>(направленных) в соответствии с Законом "О разрешениях и уведомлениях", сведения о которых подтверждаются в информационных системах государственных органов. В случае отсутствия сведений в информационных системах государственных органов, потенциальный поставщик представляет нотариально удостоверенную копию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полученных в соответствии с Законом "О разрешениях и уведомлениях";</w:t>
      </w:r>
    </w:p>
    <w:p w:rsidR="000C0B67" w:rsidRPr="003F04F1" w:rsidRDefault="000C0B67" w:rsidP="000C0B67">
      <w:pPr>
        <w:pStyle w:val="a5"/>
        <w:tabs>
          <w:tab w:val="left" w:pos="426"/>
        </w:tabs>
        <w:jc w:val="both"/>
        <w:rPr>
          <w:rStyle w:val="s0"/>
          <w:color w:val="auto"/>
          <w:sz w:val="28"/>
          <w:szCs w:val="28"/>
        </w:rPr>
      </w:pPr>
      <w:r w:rsidRPr="003F04F1">
        <w:rPr>
          <w:rStyle w:val="s0"/>
          <w:color w:val="auto"/>
          <w:sz w:val="28"/>
          <w:szCs w:val="28"/>
          <w:lang w:val="kk-KZ"/>
        </w:rPr>
        <w:tab/>
      </w:r>
      <w:r w:rsidRPr="003F04F1">
        <w:rPr>
          <w:rStyle w:val="s0"/>
          <w:color w:val="auto"/>
          <w:sz w:val="28"/>
          <w:szCs w:val="28"/>
        </w:rPr>
        <w:t>2) копию документа, предоставляющего право на осуществление предпринимательской деятельности без образования юридического лица (для физического лица, осуществляющего предпринимательскую деятельность);</w:t>
      </w:r>
    </w:p>
    <w:p w:rsidR="000C0B67" w:rsidRPr="003F04F1" w:rsidRDefault="000C0B67" w:rsidP="000C0B67">
      <w:pPr>
        <w:pStyle w:val="a5"/>
        <w:tabs>
          <w:tab w:val="left" w:pos="426"/>
        </w:tabs>
        <w:jc w:val="both"/>
        <w:rPr>
          <w:rStyle w:val="s0"/>
          <w:color w:val="auto"/>
          <w:sz w:val="28"/>
          <w:szCs w:val="28"/>
        </w:rPr>
      </w:pPr>
      <w:r w:rsidRPr="003F04F1">
        <w:rPr>
          <w:rStyle w:val="s0"/>
          <w:color w:val="auto"/>
          <w:sz w:val="28"/>
          <w:szCs w:val="28"/>
          <w:lang w:val="kk-KZ"/>
        </w:rPr>
        <w:t xml:space="preserve"> </w:t>
      </w:r>
      <w:r w:rsidRPr="003F04F1">
        <w:rPr>
          <w:rStyle w:val="s0"/>
          <w:color w:val="auto"/>
          <w:sz w:val="28"/>
          <w:szCs w:val="28"/>
          <w:lang w:val="kk-KZ"/>
        </w:rPr>
        <w:tab/>
      </w:r>
      <w:r w:rsidRPr="003F04F1">
        <w:rPr>
          <w:rStyle w:val="s0"/>
          <w:color w:val="auto"/>
          <w:sz w:val="28"/>
          <w:szCs w:val="28"/>
        </w:rPr>
        <w:t>3) справку о государственной регистрации (перерегистрации) юридического лица, копию удостоверения личности или паспорта (для физического лица, осуществляющего предпринимательскую деятельность);</w:t>
      </w:r>
    </w:p>
    <w:p w:rsidR="000C0B67" w:rsidRPr="003F04F1" w:rsidRDefault="000C0B67" w:rsidP="000C0B67">
      <w:pPr>
        <w:pStyle w:val="a5"/>
        <w:tabs>
          <w:tab w:val="left" w:pos="426"/>
        </w:tabs>
        <w:jc w:val="both"/>
        <w:rPr>
          <w:rStyle w:val="s0"/>
          <w:color w:val="auto"/>
          <w:sz w:val="28"/>
          <w:szCs w:val="28"/>
        </w:rPr>
      </w:pPr>
      <w:r w:rsidRPr="003F04F1">
        <w:rPr>
          <w:rStyle w:val="s0"/>
          <w:color w:val="auto"/>
          <w:sz w:val="28"/>
          <w:szCs w:val="28"/>
          <w:lang w:val="kk-KZ"/>
        </w:rPr>
        <w:tab/>
      </w:r>
      <w:r w:rsidRPr="003F04F1">
        <w:rPr>
          <w:rStyle w:val="s0"/>
          <w:color w:val="auto"/>
          <w:sz w:val="28"/>
          <w:szCs w:val="28"/>
        </w:rPr>
        <w:t>4) копию устава юридического лица (если в уставе не указан состав учредителей, участников или акционеров, то также представляются выписка из реестра держателей акций или выписка о составе учредителей, участников или копия учредительного договора после даты объявления закупа);</w:t>
      </w:r>
    </w:p>
    <w:p w:rsidR="000C0B67" w:rsidRPr="003F04F1" w:rsidRDefault="000C0B67" w:rsidP="000C0B67">
      <w:pPr>
        <w:pStyle w:val="a5"/>
        <w:tabs>
          <w:tab w:val="left" w:pos="426"/>
        </w:tabs>
        <w:jc w:val="both"/>
        <w:rPr>
          <w:rStyle w:val="s0"/>
          <w:color w:val="auto"/>
          <w:sz w:val="28"/>
          <w:szCs w:val="28"/>
        </w:rPr>
      </w:pPr>
      <w:r w:rsidRPr="003F04F1">
        <w:rPr>
          <w:rStyle w:val="s0"/>
          <w:color w:val="auto"/>
          <w:sz w:val="28"/>
          <w:szCs w:val="28"/>
          <w:lang w:val="kk-KZ"/>
        </w:rPr>
        <w:tab/>
      </w:r>
      <w:r w:rsidRPr="003F04F1">
        <w:rPr>
          <w:rStyle w:val="s0"/>
          <w:color w:val="auto"/>
          <w:sz w:val="28"/>
          <w:szCs w:val="28"/>
        </w:rPr>
        <w:t>5) сведения об отсутствии (наличии) задолженности, учет по которым ведется в органах государственных доходов, полученные посредством веб-портала "электронного правительства" или веб-приложения "кабинет налогоплательщика";</w:t>
      </w:r>
    </w:p>
    <w:p w:rsidR="000C0B67" w:rsidRPr="003F04F1" w:rsidRDefault="000C0B67" w:rsidP="000C0B67">
      <w:pPr>
        <w:pStyle w:val="a5"/>
        <w:tabs>
          <w:tab w:val="left" w:pos="426"/>
        </w:tabs>
        <w:jc w:val="both"/>
        <w:rPr>
          <w:rStyle w:val="s0"/>
          <w:color w:val="auto"/>
          <w:sz w:val="28"/>
          <w:szCs w:val="28"/>
        </w:rPr>
      </w:pPr>
      <w:r w:rsidRPr="003F04F1">
        <w:rPr>
          <w:rStyle w:val="s0"/>
          <w:color w:val="auto"/>
          <w:sz w:val="28"/>
          <w:szCs w:val="28"/>
          <w:lang w:val="kk-KZ"/>
        </w:rPr>
        <w:tab/>
      </w:r>
      <w:r w:rsidRPr="003F04F1">
        <w:rPr>
          <w:rStyle w:val="s0"/>
          <w:color w:val="auto"/>
          <w:sz w:val="28"/>
          <w:szCs w:val="28"/>
        </w:rPr>
        <w:t>6) оригинал справки налогового органа Республики Казахстан о том, что данный потенциальный поставщик не является резидентом Республики Казахстан (если потенциальный поставщик не является резидентом Республики Казахстан и не зарегистрирован в качестве налогоплательщика Республики Казахстан). В</w:t>
      </w:r>
      <w:r w:rsidRPr="003F04F1">
        <w:rPr>
          <w:rStyle w:val="s0"/>
          <w:color w:val="FFFFFF" w:themeColor="background1"/>
          <w:sz w:val="28"/>
          <w:szCs w:val="28"/>
        </w:rPr>
        <w:t>2</w:t>
      </w:r>
      <w:r w:rsidRPr="003F04F1">
        <w:rPr>
          <w:rStyle w:val="s0"/>
          <w:color w:val="auto"/>
          <w:sz w:val="28"/>
          <w:szCs w:val="28"/>
        </w:rPr>
        <w:t>случае несоответствия победителя квалификационным требованиям, закуп способом ценовых предложений признается несостоявшимся.</w:t>
      </w:r>
    </w:p>
    <w:p w:rsidR="000C0B67" w:rsidRPr="003F04F1" w:rsidRDefault="000C0B67" w:rsidP="000C0B67">
      <w:pPr>
        <w:pStyle w:val="a5"/>
        <w:tabs>
          <w:tab w:val="left" w:pos="426"/>
        </w:tabs>
        <w:jc w:val="both"/>
        <w:rPr>
          <w:rFonts w:ascii="Times New Roman" w:hAnsi="Times New Roman" w:cs="Times New Roman"/>
          <w:color w:val="auto"/>
          <w:sz w:val="28"/>
          <w:szCs w:val="28"/>
        </w:rPr>
      </w:pPr>
      <w:r w:rsidRPr="003F04F1">
        <w:rPr>
          <w:rFonts w:ascii="Times New Roman" w:hAnsi="Times New Roman" w:cs="Times New Roman"/>
          <w:color w:val="auto"/>
          <w:sz w:val="28"/>
          <w:szCs w:val="28"/>
        </w:rPr>
        <w:t>5. При закупе фармацевтических услуг потенциальный поставщик представляет на соисполнителя документы, предусмотренные настоящим пунктом.</w:t>
      </w:r>
    </w:p>
    <w:p w:rsidR="00C04589" w:rsidRPr="000C0B67" w:rsidRDefault="000C0B67" w:rsidP="000C0B67">
      <w:pPr>
        <w:jc w:val="both"/>
        <w:rPr>
          <w:rFonts w:ascii="Times New Roman" w:hAnsi="Times New Roman" w:cs="Times New Roman"/>
          <w:sz w:val="28"/>
          <w:szCs w:val="28"/>
        </w:rPr>
      </w:pPr>
      <w:r w:rsidRPr="003F04F1">
        <w:rPr>
          <w:rFonts w:ascii="Times New Roman" w:hAnsi="Times New Roman" w:cs="Times New Roman"/>
          <w:sz w:val="28"/>
          <w:szCs w:val="28"/>
        </w:rPr>
        <w:t>6. В случае несоответствия победителя квалификационным требованиям, закуп способом ценовых предложений признается несостоявшимся.</w:t>
      </w:r>
      <w:bookmarkStart w:id="4" w:name="_GoBack"/>
      <w:bookmarkEnd w:id="4"/>
    </w:p>
    <w:sectPr w:rsidR="00C04589" w:rsidRPr="000C0B67" w:rsidSect="001848AD">
      <w:pgSz w:w="16838" w:h="11906" w:orient="landscape"/>
      <w:pgMar w:top="566" w:right="1134" w:bottom="1276" w:left="709" w:header="56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0B3"/>
    <w:rsid w:val="000C0B67"/>
    <w:rsid w:val="00C04589"/>
    <w:rsid w:val="00C810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6C5A6A-1F1B-48FB-8BB5-2D02D4235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0B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link w:val="a4"/>
    <w:uiPriority w:val="99"/>
    <w:unhideWhenUsed/>
    <w:qFormat/>
    <w:rsid w:val="000C0B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uiPriority w:val="99"/>
    <w:locked/>
    <w:rsid w:val="000C0B67"/>
    <w:rPr>
      <w:rFonts w:ascii="Times New Roman" w:eastAsia="Times New Roman" w:hAnsi="Times New Roman" w:cs="Times New Roman"/>
      <w:sz w:val="24"/>
      <w:szCs w:val="24"/>
      <w:lang w:eastAsia="ru-RU"/>
    </w:rPr>
  </w:style>
  <w:style w:type="character" w:customStyle="1" w:styleId="s0">
    <w:name w:val="s0"/>
    <w:rsid w:val="000C0B67"/>
    <w:rPr>
      <w:rFonts w:ascii="Times New Roman" w:hAnsi="Times New Roman" w:cs="Times New Roman" w:hint="default"/>
      <w:b w:val="0"/>
      <w:bCs w:val="0"/>
      <w:i w:val="0"/>
      <w:iCs w:val="0"/>
      <w:color w:val="000000"/>
    </w:rPr>
  </w:style>
  <w:style w:type="paragraph" w:styleId="a5">
    <w:name w:val="No Spacing"/>
    <w:uiPriority w:val="1"/>
    <w:qFormat/>
    <w:rsid w:val="000C0B67"/>
    <w:pPr>
      <w:widowControl w:val="0"/>
      <w:spacing w:after="0" w:line="240" w:lineRule="auto"/>
      <w:contextualSpacing/>
    </w:pPr>
    <w:rPr>
      <w:rFonts w:ascii="Calibri" w:eastAsia="Calibri" w:hAnsi="Calibri" w:cs="Calibri"/>
      <w:color w:val="000000"/>
      <w:lang w:eastAsia="ru-RU"/>
    </w:rPr>
  </w:style>
  <w:style w:type="paragraph" w:customStyle="1" w:styleId="Default">
    <w:name w:val="Default"/>
    <w:rsid w:val="000C0B67"/>
    <w:pPr>
      <w:autoSpaceDE w:val="0"/>
      <w:autoSpaceDN w:val="0"/>
      <w:adjustRightInd w:val="0"/>
      <w:spacing w:after="0" w:line="240" w:lineRule="auto"/>
    </w:pPr>
    <w:rPr>
      <w:rFonts w:ascii="Calibri" w:eastAsiaTheme="minorEastAsia" w:hAnsi="Calibri" w:cs="Calibri"/>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online.zakon.kz/Document/?link_id=10055302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5166</Words>
  <Characters>29448</Characters>
  <Application>Microsoft Office Word</Application>
  <DocSecurity>0</DocSecurity>
  <Lines>245</Lines>
  <Paragraphs>69</Paragraphs>
  <ScaleCrop>false</ScaleCrop>
  <Company>SPecialiST RePack</Company>
  <LinksUpToDate>false</LinksUpToDate>
  <CharactersWithSpaces>34545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2024-01-23T11:17:00Z</dcterms:created>
  <dcterms:modified xsi:type="dcterms:W3CDTF">2024-01-23T11:17:00Z</dcterms:modified>
</cp:coreProperties>
</file>